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Lowering</w:t>
      </w:r>
      <w:r w:rsidR="00002CA3">
        <w:rPr>
          <w:rFonts w:ascii="Times New Roman" w:eastAsia="Times New Roman" w:hAnsi="Times New Roman" w:cs="Times New Roman"/>
          <w:sz w:val="24"/>
          <w:szCs w:val="24"/>
        </w:rPr>
        <w:t xml:space="preserve"> Costs and Improving Efficiency </w:t>
      </w:r>
      <w:r w:rsidRPr="00113467">
        <w:rPr>
          <w:rFonts w:ascii="Times New Roman" w:eastAsia="Times New Roman" w:hAnsi="Times New Roman" w:cs="Times New Roman"/>
          <w:sz w:val="24"/>
          <w:szCs w:val="24"/>
        </w:rPr>
        <w:t>Core to Saudi Hydrogen Export Ambitions: Carbon Capture &amp; Utilization (CCU) in Power Plants</w:t>
      </w:r>
    </w:p>
    <w:p w:rsidR="00840A83" w:rsidRPr="00113467" w:rsidRDefault="00840A83" w:rsidP="00113467">
      <w:pPr>
        <w:spacing w:after="120"/>
        <w:jc w:val="both"/>
        <w:rPr>
          <w:rFonts w:ascii="Times New Roman" w:eastAsia="Times New Roman" w:hAnsi="Times New Roman" w:cs="Times New Roman"/>
          <w:sz w:val="24"/>
          <w:szCs w:val="24"/>
        </w:rPr>
      </w:pPr>
    </w:p>
    <w:p w:rsidR="00840A83" w:rsidRDefault="00113467" w:rsidP="003458BE">
      <w:pPr>
        <w:pStyle w:val="NormalWeb"/>
        <w:jc w:val="both"/>
      </w:pPr>
      <w:r w:rsidRPr="00840A83">
        <w:rPr>
          <w:b/>
        </w:rPr>
        <w:t>Abstract</w:t>
      </w:r>
      <w:r w:rsidR="00840A83">
        <w:br/>
      </w:r>
      <w:r w:rsidRPr="00113467">
        <w:br/>
      </w:r>
      <w:r w:rsidR="00840A83">
        <w:t xml:space="preserve">Saudi Arabia is positioning itself as a major global exporter of low-carbon hydrogen by developing large-scale green hydrogen projects such as the NEOM Green Hydrogen Company facility, alongside additional green hydrogen and ammonia complexes planned in </w:t>
      </w:r>
      <w:proofErr w:type="spellStart"/>
      <w:r w:rsidR="00840A83">
        <w:t>Yanbu</w:t>
      </w:r>
      <w:proofErr w:type="spellEnd"/>
      <w:r w:rsidR="00840A83">
        <w:t>. These initiatives align with the Kingdom’s ambition to supply a meaningful share of global hydrogen demand by the early 2030s. In parallel, Saudi Arabia is advancing the Circular Carbon Economy (CCE) framework built on the “4Rs”—reduce, reuse, recycle, and remove—aiming to meet climate goals while safeguarding energy security and supporting Vision 2030 economic diversification.</w:t>
      </w:r>
      <w:r w:rsidR="00002CA3">
        <w:t xml:space="preserve"> </w:t>
      </w:r>
      <w:r w:rsidR="00840A83">
        <w:t>Carbon Capture and Utilization (CCU) from natural gas- and oil-fired power plants is a key transitional pathway. Capturing CO₂ from existing power infrastructure and reusing it in industrial applications or as feedstock for synthetic fuels and materials can reduce lifecycle emissions and improve the competitiveness of both blue and green hydrogen exports. Saudi initiatives include large-scale CO₂ capture and storage projects and development of multi-source CCS hubs.</w:t>
      </w:r>
      <w:r w:rsidR="00002CA3">
        <w:t xml:space="preserve"> </w:t>
      </w:r>
      <w:r w:rsidR="00840A83">
        <w:t>Despite its potential, CCU at power plants faces challenges such as high costs, energy penalties, and uncertain commercial returns. This paper outlines a research agenda to reduce capture costs and improve efficiency in Saudi power plants, focusing on advanced capture systems, shared CCUS hubs, integration with hydrogen and ammonia supply chains, and expanded CO₂ utilization in petrochemicals, materials, and synthetic fuels to strengthen CCE outcomes.</w:t>
      </w:r>
      <w:r w:rsidR="00E618FF">
        <w:br/>
      </w:r>
    </w:p>
    <w:p w:rsidR="00840A83" w:rsidRDefault="00840A83" w:rsidP="003458BE">
      <w:pPr>
        <w:pStyle w:val="NormalWeb"/>
        <w:jc w:val="both"/>
      </w:pPr>
      <w:r w:rsidRPr="00E618FF">
        <w:rPr>
          <w:b/>
        </w:rPr>
        <w:t>Keywords:</w:t>
      </w:r>
      <w:r>
        <w:t xml:space="preserve"> Carbon Capture and Utilization; Natural Gas Power Plants; Blue Hydrogen; Green Hydrogen; Circular Carbon Economy; Saudi Vision 2030; NEOM; Hydrogen Exports; CO₂ Utilization; Power Sector </w:t>
      </w:r>
      <w:proofErr w:type="spellStart"/>
      <w:r>
        <w:t>Decarbonization</w:t>
      </w:r>
      <w:proofErr w:type="spellEnd"/>
      <w:r>
        <w:t>.</w:t>
      </w:r>
    </w:p>
    <w:p w:rsidR="00113467" w:rsidRPr="00113467" w:rsidRDefault="00113467" w:rsidP="00840A83">
      <w:pPr>
        <w:spacing w:after="120"/>
        <w:jc w:val="both"/>
        <w:rPr>
          <w:rFonts w:ascii="Times New Roman" w:eastAsia="Times New Roman" w:hAnsi="Times New Roman" w:cs="Times New Roman"/>
          <w:sz w:val="24"/>
          <w:szCs w:val="24"/>
        </w:rPr>
      </w:pP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xml:space="preserve">1. </w:t>
      </w:r>
      <w:r w:rsidRPr="00840A83">
        <w:rPr>
          <w:rFonts w:ascii="Times New Roman" w:eastAsia="Times New Roman" w:hAnsi="Times New Roman" w:cs="Times New Roman"/>
          <w:b/>
          <w:sz w:val="24"/>
          <w:szCs w:val="24"/>
        </w:rPr>
        <w:t>Introduction</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xml:space="preserve">The global energy system is undergoing a structural transformation as nations strive to balance energy security, economic competitiveness, and deep </w:t>
      </w:r>
      <w:proofErr w:type="spellStart"/>
      <w:r w:rsidRPr="00113467">
        <w:rPr>
          <w:rFonts w:ascii="Times New Roman" w:eastAsia="Times New Roman" w:hAnsi="Times New Roman" w:cs="Times New Roman"/>
          <w:sz w:val="24"/>
          <w:szCs w:val="24"/>
        </w:rPr>
        <w:t>decarbonization</w:t>
      </w:r>
      <w:proofErr w:type="spellEnd"/>
      <w:r w:rsidRPr="00113467">
        <w:rPr>
          <w:rFonts w:ascii="Times New Roman" w:eastAsia="Times New Roman" w:hAnsi="Times New Roman" w:cs="Times New Roman"/>
          <w:sz w:val="24"/>
          <w:szCs w:val="24"/>
        </w:rPr>
        <w:t>. For fossil-fuel-rich economies such as Saudi Arabia, this transition involves not only replacing one fuel with another but also repositioning the nation within emerging value chains centered on low-carbon hydrogen, ammonia, and advanced materials.</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Saudi Arabia's Vision 2030 explicitly aims to diversify the national economy, establish new industrial clusters, and leverage its comparative advantage in low-cost energy resources to become a leading exporter of clean energy, particularly hydrogen and hydrogen-based fuels. This objective is supported by several large-scale projects outlined in Vision 2030:</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lastRenderedPageBreak/>
        <w:t xml:space="preserve">The NEOM Green Hydrogen Company (NGHC) plant in </w:t>
      </w:r>
      <w:proofErr w:type="spellStart"/>
      <w:r w:rsidRPr="00113467">
        <w:rPr>
          <w:rFonts w:ascii="Times New Roman" w:eastAsia="Times New Roman" w:hAnsi="Times New Roman" w:cs="Times New Roman"/>
          <w:sz w:val="24"/>
          <w:szCs w:val="24"/>
        </w:rPr>
        <w:t>Oxagon</w:t>
      </w:r>
      <w:proofErr w:type="spellEnd"/>
      <w:r w:rsidRPr="00113467">
        <w:rPr>
          <w:rFonts w:ascii="Times New Roman" w:eastAsia="Times New Roman" w:hAnsi="Times New Roman" w:cs="Times New Roman"/>
          <w:sz w:val="24"/>
          <w:szCs w:val="24"/>
        </w:rPr>
        <w:t xml:space="preserve">, NEOM, is a joint venture between NEOM, ACWA Power, and Air Products. The facility will use about 4 GW of wind and solar power to produce approximately 600 </w:t>
      </w:r>
      <w:proofErr w:type="spellStart"/>
      <w:r w:rsidRPr="00113467">
        <w:rPr>
          <w:rFonts w:ascii="Times New Roman" w:eastAsia="Times New Roman" w:hAnsi="Times New Roman" w:cs="Times New Roman"/>
          <w:sz w:val="24"/>
          <w:szCs w:val="24"/>
        </w:rPr>
        <w:t>tonnes</w:t>
      </w:r>
      <w:proofErr w:type="spellEnd"/>
      <w:r w:rsidRPr="00113467">
        <w:rPr>
          <w:rFonts w:ascii="Times New Roman" w:eastAsia="Times New Roman" w:hAnsi="Times New Roman" w:cs="Times New Roman"/>
          <w:sz w:val="24"/>
          <w:szCs w:val="24"/>
        </w:rPr>
        <w:t xml:space="preserve"> of carbon-free hydrogen per day as green ammonia, with exports beginning in 2026–2027.</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xml:space="preserve">The </w:t>
      </w:r>
      <w:proofErr w:type="spellStart"/>
      <w:r w:rsidRPr="00113467">
        <w:rPr>
          <w:rFonts w:ascii="Times New Roman" w:eastAsia="Times New Roman" w:hAnsi="Times New Roman" w:cs="Times New Roman"/>
          <w:sz w:val="24"/>
          <w:szCs w:val="24"/>
        </w:rPr>
        <w:t>Yanbu</w:t>
      </w:r>
      <w:proofErr w:type="spellEnd"/>
      <w:r w:rsidRPr="00113467">
        <w:rPr>
          <w:rFonts w:ascii="Times New Roman" w:eastAsia="Times New Roman" w:hAnsi="Times New Roman" w:cs="Times New Roman"/>
          <w:sz w:val="24"/>
          <w:szCs w:val="24"/>
        </w:rPr>
        <w:t xml:space="preserve"> facility, led by ACWA Power and Sinopec, is expected to produce 400,000 </w:t>
      </w:r>
      <w:proofErr w:type="spellStart"/>
      <w:r w:rsidRPr="00113467">
        <w:rPr>
          <w:rFonts w:ascii="Times New Roman" w:eastAsia="Times New Roman" w:hAnsi="Times New Roman" w:cs="Times New Roman"/>
          <w:sz w:val="24"/>
          <w:szCs w:val="24"/>
        </w:rPr>
        <w:t>tonnes</w:t>
      </w:r>
      <w:proofErr w:type="spellEnd"/>
      <w:r w:rsidRPr="00113467">
        <w:rPr>
          <w:rFonts w:ascii="Times New Roman" w:eastAsia="Times New Roman" w:hAnsi="Times New Roman" w:cs="Times New Roman"/>
          <w:sz w:val="24"/>
          <w:szCs w:val="24"/>
        </w:rPr>
        <w:t xml:space="preserve"> of green hydrogen and 2.8 million </w:t>
      </w:r>
      <w:proofErr w:type="spellStart"/>
      <w:r w:rsidRPr="00113467">
        <w:rPr>
          <w:rFonts w:ascii="Times New Roman" w:eastAsia="Times New Roman" w:hAnsi="Times New Roman" w:cs="Times New Roman"/>
          <w:sz w:val="24"/>
          <w:szCs w:val="24"/>
        </w:rPr>
        <w:t>tonnes</w:t>
      </w:r>
      <w:proofErr w:type="spellEnd"/>
      <w:r w:rsidRPr="00113467">
        <w:rPr>
          <w:rFonts w:ascii="Times New Roman" w:eastAsia="Times New Roman" w:hAnsi="Times New Roman" w:cs="Times New Roman"/>
          <w:sz w:val="24"/>
          <w:szCs w:val="24"/>
        </w:rPr>
        <w:t xml:space="preserve"> of green ammonia annually by 2030. Saudi Arabia has signed agreements with European and other international partners to become a key supplier of low-carbon hydrogen and ammonia, leveraging its geographic position and export infrastructure. The Kingdom also promotes the Circular Carbon Economy (CCE) framework, adopted by G20 energy ministers in 2020. The CCE is based on four pillars: Reduce, Reuse, Recycle, and Remove, and uses a technology-neutral, systems-level approach to carbon management. In this framework, carbon capture, utilization, and storage (CCUS) is central to the Reuse and Remove pillars. Saudi </w:t>
      </w:r>
      <w:proofErr w:type="spellStart"/>
      <w:r w:rsidRPr="00113467">
        <w:rPr>
          <w:rFonts w:ascii="Times New Roman" w:eastAsia="Times New Roman" w:hAnsi="Times New Roman" w:cs="Times New Roman"/>
          <w:sz w:val="24"/>
          <w:szCs w:val="24"/>
        </w:rPr>
        <w:t>Aramco</w:t>
      </w:r>
      <w:proofErr w:type="spellEnd"/>
      <w:r w:rsidRPr="00113467">
        <w:rPr>
          <w:rFonts w:ascii="Times New Roman" w:eastAsia="Times New Roman" w:hAnsi="Times New Roman" w:cs="Times New Roman"/>
          <w:sz w:val="24"/>
          <w:szCs w:val="24"/>
        </w:rPr>
        <w:t xml:space="preserve"> has implemented major CCUS projects, including capturing CO₂ from the </w:t>
      </w:r>
      <w:proofErr w:type="spellStart"/>
      <w:r w:rsidRPr="00113467">
        <w:rPr>
          <w:rFonts w:ascii="Times New Roman" w:eastAsia="Times New Roman" w:hAnsi="Times New Roman" w:cs="Times New Roman"/>
          <w:sz w:val="24"/>
          <w:szCs w:val="24"/>
        </w:rPr>
        <w:t>Hawiyah</w:t>
      </w:r>
      <w:proofErr w:type="spellEnd"/>
      <w:r w:rsidRPr="00113467">
        <w:rPr>
          <w:rFonts w:ascii="Times New Roman" w:eastAsia="Times New Roman" w:hAnsi="Times New Roman" w:cs="Times New Roman"/>
          <w:sz w:val="24"/>
          <w:szCs w:val="24"/>
        </w:rPr>
        <w:t xml:space="preserve"> natural gas liquids plant and transporting it to the </w:t>
      </w:r>
      <w:proofErr w:type="spellStart"/>
      <w:r w:rsidRPr="00113467">
        <w:rPr>
          <w:rFonts w:ascii="Times New Roman" w:eastAsia="Times New Roman" w:hAnsi="Times New Roman" w:cs="Times New Roman"/>
          <w:sz w:val="24"/>
          <w:szCs w:val="24"/>
        </w:rPr>
        <w:t>Uthmaniyah</w:t>
      </w:r>
      <w:proofErr w:type="spellEnd"/>
      <w:r w:rsidRPr="00113467">
        <w:rPr>
          <w:rFonts w:ascii="Times New Roman" w:eastAsia="Times New Roman" w:hAnsi="Times New Roman" w:cs="Times New Roman"/>
          <w:sz w:val="24"/>
          <w:szCs w:val="24"/>
        </w:rPr>
        <w:t xml:space="preserve"> oil field for enhanced oil recovery (EOR) and geological storage, with an estimated capture rate of 40–45 million standard cubic feet per day (Saudi </w:t>
      </w:r>
      <w:proofErr w:type="spellStart"/>
      <w:r w:rsidRPr="00113467">
        <w:rPr>
          <w:rFonts w:ascii="Times New Roman" w:eastAsia="Times New Roman" w:hAnsi="Times New Roman" w:cs="Times New Roman"/>
          <w:sz w:val="24"/>
          <w:szCs w:val="24"/>
        </w:rPr>
        <w:t>Aramco</w:t>
      </w:r>
      <w:proofErr w:type="spellEnd"/>
      <w:r w:rsidRPr="00113467">
        <w:rPr>
          <w:rFonts w:ascii="Times New Roman" w:eastAsia="Times New Roman" w:hAnsi="Times New Roman" w:cs="Times New Roman"/>
          <w:sz w:val="24"/>
          <w:szCs w:val="24"/>
        </w:rPr>
        <w:t xml:space="preserve">, 2023). The facility has stored significant volumes of CO₂ since 2015. A CCS hub is also under construction in </w:t>
      </w:r>
      <w:proofErr w:type="spellStart"/>
      <w:r w:rsidRPr="00113467">
        <w:rPr>
          <w:rFonts w:ascii="Times New Roman" w:eastAsia="Times New Roman" w:hAnsi="Times New Roman" w:cs="Times New Roman"/>
          <w:sz w:val="24"/>
          <w:szCs w:val="24"/>
        </w:rPr>
        <w:t>Jubail</w:t>
      </w:r>
      <w:proofErr w:type="spellEnd"/>
      <w:r w:rsidRPr="00113467">
        <w:rPr>
          <w:rFonts w:ascii="Times New Roman" w:eastAsia="Times New Roman" w:hAnsi="Times New Roman" w:cs="Times New Roman"/>
          <w:sz w:val="24"/>
          <w:szCs w:val="24"/>
        </w:rPr>
        <w:t xml:space="preserve">, in partnership with SLB and </w:t>
      </w:r>
      <w:proofErr w:type="spellStart"/>
      <w:r w:rsidRPr="00113467">
        <w:rPr>
          <w:rFonts w:ascii="Times New Roman" w:eastAsia="Times New Roman" w:hAnsi="Times New Roman" w:cs="Times New Roman"/>
          <w:sz w:val="24"/>
          <w:szCs w:val="24"/>
        </w:rPr>
        <w:t>Linde</w:t>
      </w:r>
      <w:proofErr w:type="spellEnd"/>
      <w:r w:rsidRPr="00113467">
        <w:rPr>
          <w:rFonts w:ascii="Times New Roman" w:eastAsia="Times New Roman" w:hAnsi="Times New Roman" w:cs="Times New Roman"/>
          <w:sz w:val="24"/>
          <w:szCs w:val="24"/>
        </w:rPr>
        <w:t xml:space="preserve">, and aims to capture up to 9 </w:t>
      </w:r>
      <w:proofErr w:type="spellStart"/>
      <w:r w:rsidRPr="00113467">
        <w:rPr>
          <w:rFonts w:ascii="Times New Roman" w:eastAsia="Times New Roman" w:hAnsi="Times New Roman" w:cs="Times New Roman"/>
          <w:sz w:val="24"/>
          <w:szCs w:val="24"/>
        </w:rPr>
        <w:t>MtCO</w:t>
      </w:r>
      <w:proofErr w:type="spellEnd"/>
      <w:r w:rsidRPr="00113467">
        <w:rPr>
          <w:rFonts w:ascii="Times New Roman" w:eastAsia="Times New Roman" w:hAnsi="Times New Roman" w:cs="Times New Roman"/>
          <w:sz w:val="24"/>
          <w:szCs w:val="24"/>
        </w:rPr>
        <w:t>₂ annually from multiple industrial sources starting in 2027–2028. Despite this progress, several significant challenges remain:</w:t>
      </w:r>
    </w:p>
    <w:p w:rsidR="00113467" w:rsidRPr="00113467" w:rsidRDefault="00113467" w:rsidP="00113467">
      <w:pPr>
        <w:numPr>
          <w:ilvl w:val="0"/>
          <w:numId w:val="2"/>
        </w:numPr>
        <w:spacing w:before="120"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High cost of CO₂ capture at power plants, particularly natural gas combined-cycle (NGCC) units that already operate with relatively low emissions intensity per kWh (IEA, 2021).</w:t>
      </w:r>
    </w:p>
    <w:p w:rsidR="00113467" w:rsidRPr="00113467" w:rsidRDefault="00113467" w:rsidP="00113467">
      <w:pPr>
        <w:numPr>
          <w:ilvl w:val="0"/>
          <w:numId w:val="2"/>
        </w:numPr>
        <w:spacing w:before="120"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Efficiency penalties, where capture systems reduce plant net efficiency by several percentage points, increasing fuel consumption and operating costs (Rubin et al., 2023).</w:t>
      </w:r>
    </w:p>
    <w:p w:rsidR="00113467" w:rsidRPr="00113467" w:rsidRDefault="00113467" w:rsidP="00113467">
      <w:pPr>
        <w:numPr>
          <w:ilvl w:val="0"/>
          <w:numId w:val="2"/>
        </w:numPr>
        <w:spacing w:before="120"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Limited scale of CO₂ utilization beyond EOR, especially in value-added products that can support a circular carbon economy (IRENA, 2022).</w:t>
      </w:r>
    </w:p>
    <w:p w:rsidR="00113467" w:rsidRPr="00113467" w:rsidRDefault="00113467" w:rsidP="00113467">
      <w:pPr>
        <w:numPr>
          <w:ilvl w:val="0"/>
          <w:numId w:val="2"/>
        </w:numPr>
        <w:spacing w:before="120"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Uncertainty about long-term policy frameworks, carbon pricing, and international standards for hydrogen and ammonia carbon intensity (European Union, 2023).</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Addressing these challenges is essential for Saudi Arabia to export low-carbon hydrogen competitively and demonstrate real climate benefits. While green hydrogen from renewable electrolysis produces zero direct emissions, supporting systems such as grid balancing, backup generation, desalination, and industrial processes may still depend on natural gas or oil-fired power plants. The viability of blue hydrogen, produced from natural gas with CCUS, also depends on the cost and effectiveness of CO₂ capture from gas processing and related power generation (IEA, 2023a).</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xml:space="preserve">This study investigates strategies to reduce costs and improve efficiency in carbon capture and utilization (CCU) within power plants, a central component of Saudi Arabia's hydrogen export </w:t>
      </w:r>
      <w:r w:rsidRPr="00113467">
        <w:rPr>
          <w:rFonts w:ascii="Times New Roman" w:eastAsia="Times New Roman" w:hAnsi="Times New Roman" w:cs="Times New Roman"/>
          <w:sz w:val="24"/>
          <w:szCs w:val="24"/>
        </w:rPr>
        <w:lastRenderedPageBreak/>
        <w:t>ambitions. The analysis evaluates how advanced CCU systems in gas and oil-fired power stations can:</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Decrease the carbon intensity of both domestic electricity and exported hydrogen/ammonia;</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Support the CCE framework by reusing captured CO₂ in industrial applications;</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xml:space="preserve">• Create synergies with hydrogen clusters and CCUS hubs in industrial zones such as </w:t>
      </w:r>
      <w:proofErr w:type="spellStart"/>
      <w:r w:rsidRPr="00113467">
        <w:rPr>
          <w:rFonts w:ascii="Times New Roman" w:eastAsia="Times New Roman" w:hAnsi="Times New Roman" w:cs="Times New Roman"/>
          <w:sz w:val="24"/>
          <w:szCs w:val="24"/>
        </w:rPr>
        <w:t>Jubail</w:t>
      </w:r>
      <w:proofErr w:type="spellEnd"/>
      <w:r w:rsidRPr="00113467">
        <w:rPr>
          <w:rFonts w:ascii="Times New Roman" w:eastAsia="Times New Roman" w:hAnsi="Times New Roman" w:cs="Times New Roman"/>
          <w:sz w:val="24"/>
          <w:szCs w:val="24"/>
        </w:rPr>
        <w:t xml:space="preserve"> and NEOM; and</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Strengthen Saudi Arabia’s narrative as a technological leader in CCU and hydrogen.</w:t>
      </w:r>
    </w:p>
    <w:p w:rsidR="003458BE"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The structure of this paper is as follows: Section 2 reviews global and Saudi-specific literature on CCUS in power generation and its connection to hydrogen. Section 3 outlines key CO₂ capture technologies for natural gas and oil-fired power plants. Section 4 examines CO₂ utilization pathways within the circular carbon economy. Section 5 evaluates the role of CCU in Saudi Arabia’s hydrogen export strategy. Section 6 identifies strategies to reduce CCU costs and improve efficiency. Section 7 proposes a research agenda for Saudi institutions, and Section 8 discusses policy and strategic implications.</w:t>
      </w:r>
    </w:p>
    <w:p w:rsidR="00113467" w:rsidRPr="00113467" w:rsidRDefault="00E618FF" w:rsidP="00113467">
      <w:pPr>
        <w:spacing w:after="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br/>
      </w:r>
    </w:p>
    <w:p w:rsidR="00113467" w:rsidRPr="00840A83" w:rsidRDefault="00113467" w:rsidP="00113467">
      <w:pPr>
        <w:numPr>
          <w:ilvl w:val="0"/>
          <w:numId w:val="3"/>
        </w:numPr>
        <w:spacing w:before="120" w:after="120"/>
        <w:jc w:val="both"/>
        <w:rPr>
          <w:rFonts w:ascii="Times New Roman" w:eastAsia="Times New Roman" w:hAnsi="Times New Roman" w:cs="Times New Roman"/>
          <w:b/>
          <w:sz w:val="24"/>
          <w:szCs w:val="24"/>
        </w:rPr>
      </w:pPr>
      <w:r w:rsidRPr="00840A83">
        <w:rPr>
          <w:rFonts w:ascii="Times New Roman" w:eastAsia="Times New Roman" w:hAnsi="Times New Roman" w:cs="Times New Roman"/>
          <w:b/>
          <w:sz w:val="24"/>
          <w:szCs w:val="24"/>
        </w:rPr>
        <w:t>Literature Review</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i/>
          <w:iCs/>
          <w:sz w:val="24"/>
          <w:szCs w:val="24"/>
        </w:rPr>
        <w:t xml:space="preserve">2.1 Global role of CCUS and power sector </w:t>
      </w:r>
      <w:proofErr w:type="spellStart"/>
      <w:r w:rsidRPr="00113467">
        <w:rPr>
          <w:rFonts w:ascii="Times New Roman" w:eastAsia="Times New Roman" w:hAnsi="Times New Roman" w:cs="Times New Roman"/>
          <w:i/>
          <w:iCs/>
          <w:sz w:val="24"/>
          <w:szCs w:val="24"/>
        </w:rPr>
        <w:t>decarbonization</w:t>
      </w:r>
      <w:proofErr w:type="spellEnd"/>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xml:space="preserve">The International Energy Agency (IEA) describes CCUS as a critical technology family for achieving net-zero emissions, particularly in sectors where direct electrification or pure </w:t>
      </w:r>
      <w:proofErr w:type="spellStart"/>
      <w:r w:rsidRPr="00113467">
        <w:rPr>
          <w:rFonts w:ascii="Times New Roman" w:eastAsia="Times New Roman" w:hAnsi="Times New Roman" w:cs="Times New Roman"/>
          <w:sz w:val="24"/>
          <w:szCs w:val="24"/>
        </w:rPr>
        <w:t>renewables</w:t>
      </w:r>
      <w:proofErr w:type="spellEnd"/>
      <w:r w:rsidRPr="00113467">
        <w:rPr>
          <w:rFonts w:ascii="Times New Roman" w:eastAsia="Times New Roman" w:hAnsi="Times New Roman" w:cs="Times New Roman"/>
          <w:sz w:val="24"/>
          <w:szCs w:val="24"/>
        </w:rPr>
        <w:t xml:space="preserve"> are challenging (IEA, 2023b). CCUS can:</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Be retrofitted to existing power and industrial plants;</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xml:space="preserve">• Enable low-carbon production of hydrogen and ammonia using fossil </w:t>
      </w:r>
      <w:proofErr w:type="spellStart"/>
      <w:r w:rsidRPr="00113467">
        <w:rPr>
          <w:rFonts w:ascii="Times New Roman" w:eastAsia="Times New Roman" w:hAnsi="Times New Roman" w:cs="Times New Roman"/>
          <w:sz w:val="24"/>
          <w:szCs w:val="24"/>
        </w:rPr>
        <w:t>feedstocks</w:t>
      </w:r>
      <w:proofErr w:type="spellEnd"/>
      <w:r w:rsidRPr="00113467">
        <w:rPr>
          <w:rFonts w:ascii="Times New Roman" w:eastAsia="Times New Roman" w:hAnsi="Times New Roman" w:cs="Times New Roman"/>
          <w:sz w:val="24"/>
          <w:szCs w:val="24"/>
        </w:rPr>
        <w:t>;</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xml:space="preserve">• Provide negative emissions when coupled with </w:t>
      </w:r>
      <w:proofErr w:type="spellStart"/>
      <w:r w:rsidRPr="00113467">
        <w:rPr>
          <w:rFonts w:ascii="Times New Roman" w:eastAsia="Times New Roman" w:hAnsi="Times New Roman" w:cs="Times New Roman"/>
          <w:sz w:val="24"/>
          <w:szCs w:val="24"/>
        </w:rPr>
        <w:t>bioenergy</w:t>
      </w:r>
      <w:proofErr w:type="spellEnd"/>
      <w:r w:rsidRPr="00113467">
        <w:rPr>
          <w:rFonts w:ascii="Times New Roman" w:eastAsia="Times New Roman" w:hAnsi="Times New Roman" w:cs="Times New Roman"/>
          <w:sz w:val="24"/>
          <w:szCs w:val="24"/>
        </w:rPr>
        <w:t xml:space="preserve"> (BECCS) or direct air capture (DAC) (IPCC, 2022).</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In its CCUS in Clean Energy Transitions report, the IEA projects that CCUS could provide around 4% of global emissions reductions by 2030 and 12–15% by 2070 relative to a baseline scenario (IEA, 2023b). A substantial share of captured CO₂ would come from the power sector and hydrogen production, with up to 1,100 GW of power capacity equipped with CCUS by 2070, delivering roughly 8% of global electricity.</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xml:space="preserve">Recent updates indicate that global CCUS capacity in operation exceeded 50 </w:t>
      </w:r>
      <w:proofErr w:type="spellStart"/>
      <w:r w:rsidRPr="00113467">
        <w:rPr>
          <w:rFonts w:ascii="Times New Roman" w:eastAsia="Times New Roman" w:hAnsi="Times New Roman" w:cs="Times New Roman"/>
          <w:sz w:val="24"/>
          <w:szCs w:val="24"/>
        </w:rPr>
        <w:t>MtCO</w:t>
      </w:r>
      <w:proofErr w:type="spellEnd"/>
      <w:r w:rsidRPr="00113467">
        <w:rPr>
          <w:rFonts w:ascii="Times New Roman" w:eastAsia="Times New Roman" w:hAnsi="Times New Roman" w:cs="Times New Roman"/>
          <w:sz w:val="24"/>
          <w:szCs w:val="24"/>
        </w:rPr>
        <w:t xml:space="preserve">₂ per year by early 2025, with a project pipeline that could reach around 430 </w:t>
      </w:r>
      <w:proofErr w:type="spellStart"/>
      <w:r w:rsidRPr="00113467">
        <w:rPr>
          <w:rFonts w:ascii="Times New Roman" w:eastAsia="Times New Roman" w:hAnsi="Times New Roman" w:cs="Times New Roman"/>
          <w:sz w:val="24"/>
          <w:szCs w:val="24"/>
        </w:rPr>
        <w:t>MtCO</w:t>
      </w:r>
      <w:proofErr w:type="spellEnd"/>
      <w:r w:rsidRPr="00113467">
        <w:rPr>
          <w:rFonts w:ascii="Times New Roman" w:eastAsia="Times New Roman" w:hAnsi="Times New Roman" w:cs="Times New Roman"/>
          <w:sz w:val="24"/>
          <w:szCs w:val="24"/>
        </w:rPr>
        <w:t>₂ per year by 2030 if all announced projects proceed (Global CCS Institute, 2024). However, the IEA warns that only a fraction of announced capacity has reached final investment decision (FID), and actual deployment lags behind what is needed in net-zero scenarios (IEA, 2024).</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lastRenderedPageBreak/>
        <w:t>2.2 Costs and performance of CO₂ capture at power plants</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A large body of techno-economic studies has examined CO₂ capture from coal and natural gas power plants. An influential IEA assessment evaluated over 50 engineering studies of capture systems and standardized them for comparison (IEA, 2021). It found that:</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Post-combustion amine capture on NGCC units typically incurs an energy penalty of 7–10 percentage points, reducing net efficiency and increasing fuel consumption.</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xml:space="preserve">• Cost of CO₂ avoided varies widely but often falls in the range USD 60–100 per </w:t>
      </w:r>
      <w:proofErr w:type="spellStart"/>
      <w:r w:rsidRPr="00113467">
        <w:rPr>
          <w:rFonts w:ascii="Times New Roman" w:eastAsia="Times New Roman" w:hAnsi="Times New Roman" w:cs="Times New Roman"/>
          <w:sz w:val="24"/>
          <w:szCs w:val="24"/>
        </w:rPr>
        <w:t>tonne</w:t>
      </w:r>
      <w:proofErr w:type="spellEnd"/>
      <w:r w:rsidRPr="00113467">
        <w:rPr>
          <w:rFonts w:ascii="Times New Roman" w:eastAsia="Times New Roman" w:hAnsi="Times New Roman" w:cs="Times New Roman"/>
          <w:sz w:val="24"/>
          <w:szCs w:val="24"/>
        </w:rPr>
        <w:t>, depending on location, technology, fuel price, and plant configuration.</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xml:space="preserve">More recent studies explore advanced concepts such as chemical looping combustion (CLC) integrated with NGCC (Zhao et al., 2023). One techno-economic assessment found that a conventional CLC plant could impose an energy penalty of ~11.4 percentage points and a CO₂ avoidance cost of USD 117 per </w:t>
      </w:r>
      <w:proofErr w:type="spellStart"/>
      <w:r w:rsidRPr="00113467">
        <w:rPr>
          <w:rFonts w:ascii="Times New Roman" w:eastAsia="Times New Roman" w:hAnsi="Times New Roman" w:cs="Times New Roman"/>
          <w:sz w:val="24"/>
          <w:szCs w:val="24"/>
        </w:rPr>
        <w:t>tonne</w:t>
      </w:r>
      <w:proofErr w:type="spellEnd"/>
      <w:r w:rsidRPr="00113467">
        <w:rPr>
          <w:rFonts w:ascii="Times New Roman" w:eastAsia="Times New Roman" w:hAnsi="Times New Roman" w:cs="Times New Roman"/>
          <w:sz w:val="24"/>
          <w:szCs w:val="24"/>
        </w:rPr>
        <w:t xml:space="preserve">, which is more expensive than a conventional NGCC with post-combustion capture at ~USD 94 per </w:t>
      </w:r>
      <w:proofErr w:type="spellStart"/>
      <w:r w:rsidRPr="00113467">
        <w:rPr>
          <w:rFonts w:ascii="Times New Roman" w:eastAsia="Times New Roman" w:hAnsi="Times New Roman" w:cs="Times New Roman"/>
          <w:sz w:val="24"/>
          <w:szCs w:val="24"/>
        </w:rPr>
        <w:t>tonne</w:t>
      </w:r>
      <w:proofErr w:type="spellEnd"/>
      <w:r w:rsidRPr="00113467">
        <w:rPr>
          <w:rFonts w:ascii="Times New Roman" w:eastAsia="Times New Roman" w:hAnsi="Times New Roman" w:cs="Times New Roman"/>
          <w:sz w:val="24"/>
          <w:szCs w:val="24"/>
        </w:rPr>
        <w:t xml:space="preserve">. However, by adding an auxiliary combustor and exploiting standard gas turbines, the energy penalty could be reduced to ~1.4 percentage points, and avoidance costs to ~USD 60 per </w:t>
      </w:r>
      <w:proofErr w:type="spellStart"/>
      <w:r w:rsidRPr="00113467">
        <w:rPr>
          <w:rFonts w:ascii="Times New Roman" w:eastAsia="Times New Roman" w:hAnsi="Times New Roman" w:cs="Times New Roman"/>
          <w:sz w:val="24"/>
          <w:szCs w:val="24"/>
        </w:rPr>
        <w:t>tonne</w:t>
      </w:r>
      <w:proofErr w:type="spellEnd"/>
      <w:r w:rsidRPr="00113467">
        <w:rPr>
          <w:rFonts w:ascii="Times New Roman" w:eastAsia="Times New Roman" w:hAnsi="Times New Roman" w:cs="Times New Roman"/>
          <w:sz w:val="24"/>
          <w:szCs w:val="24"/>
        </w:rPr>
        <w:t xml:space="preserve"> (Zhao et al., 2023).</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These findings underscore two critical points:</w:t>
      </w:r>
    </w:p>
    <w:p w:rsidR="00113467" w:rsidRPr="00113467" w:rsidRDefault="00113467" w:rsidP="00113467">
      <w:pPr>
        <w:numPr>
          <w:ilvl w:val="0"/>
          <w:numId w:val="4"/>
        </w:numPr>
        <w:spacing w:before="120"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The cost and efficiency of CO₂ capture are highly sensitive to system design and integration, not only to the capture technology itself (Rubin et al., 2023).</w:t>
      </w:r>
    </w:p>
    <w:p w:rsidR="00113467" w:rsidRDefault="00113467" w:rsidP="00113467">
      <w:pPr>
        <w:numPr>
          <w:ilvl w:val="0"/>
          <w:numId w:val="4"/>
        </w:numPr>
        <w:spacing w:before="120"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Much of the cost-reduction potential lies in optimizing plant integration, solvent performance, heat recovery, and economies of scale rather than relying on a single “miracle” technology (IEA, 2021).</w:t>
      </w:r>
    </w:p>
    <w:p w:rsidR="00E618FF" w:rsidRPr="00113467" w:rsidRDefault="00E618FF" w:rsidP="00E618FF">
      <w:pPr>
        <w:spacing w:before="120" w:after="120"/>
        <w:ind w:left="720"/>
        <w:jc w:val="both"/>
        <w:rPr>
          <w:rFonts w:ascii="Times New Roman" w:eastAsia="Times New Roman" w:hAnsi="Times New Roman" w:cs="Times New Roman"/>
          <w:sz w:val="24"/>
          <w:szCs w:val="24"/>
        </w:rPr>
      </w:pP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2.3 Critiques of CC</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Although organizations such as the IEA emphasize the importance of CCUS, critics highlight its high costs, operational risks, and underperformance. An IEEFA analysis summarizes these concerns (IEEFA, 2022):</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There are no significant projects for capturing CO2 with post-capture compression that have maintained a level of capture higher than 80-90% of design capacity;</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Projects have encountered cost overruns, delays, and problems in operation;</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xml:space="preserve">• Even with the full delivery of the CCS capacity that has been announced, its impact would not exceed ~2-3% of the mitigation requirement through 2030, and hence, CCS will not replace the urgent deployment of </w:t>
      </w:r>
      <w:proofErr w:type="spellStart"/>
      <w:r w:rsidRPr="00113467">
        <w:rPr>
          <w:rFonts w:ascii="Times New Roman" w:eastAsia="Times New Roman" w:hAnsi="Times New Roman" w:cs="Times New Roman"/>
          <w:sz w:val="24"/>
          <w:szCs w:val="24"/>
        </w:rPr>
        <w:t>renewables</w:t>
      </w:r>
      <w:proofErr w:type="spellEnd"/>
      <w:r w:rsidRPr="00113467">
        <w:rPr>
          <w:rFonts w:ascii="Times New Roman" w:eastAsia="Times New Roman" w:hAnsi="Times New Roman" w:cs="Times New Roman"/>
          <w:sz w:val="24"/>
          <w:szCs w:val="24"/>
        </w:rPr>
        <w:t xml:space="preserve"> and efficiency.</w:t>
      </w:r>
    </w:p>
    <w:p w:rsid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xml:space="preserve">These arguments are important for Saudi policymakers, as they underscore the reputational and cost risks associated with CCUS. However, evidence shows that in sectors like natural gas </w:t>
      </w:r>
      <w:r w:rsidRPr="00113467">
        <w:rPr>
          <w:rFonts w:ascii="Times New Roman" w:eastAsia="Times New Roman" w:hAnsi="Times New Roman" w:cs="Times New Roman"/>
          <w:sz w:val="24"/>
          <w:szCs w:val="24"/>
        </w:rPr>
        <w:lastRenderedPageBreak/>
        <w:t>processing and specific industrial operations, CCUS remains the only viable short-term emissions reduction option (IEEFA, 2022).</w:t>
      </w:r>
    </w:p>
    <w:p w:rsidR="00E618FF" w:rsidRPr="00113467" w:rsidRDefault="00E618FF" w:rsidP="00113467">
      <w:pPr>
        <w:spacing w:after="120"/>
        <w:jc w:val="both"/>
        <w:rPr>
          <w:rFonts w:ascii="Times New Roman" w:eastAsia="Times New Roman" w:hAnsi="Times New Roman" w:cs="Times New Roman"/>
          <w:sz w:val="24"/>
          <w:szCs w:val="24"/>
        </w:rPr>
      </w:pPr>
    </w:p>
    <w:p w:rsidR="00113467" w:rsidRPr="00002CA3" w:rsidRDefault="00113467" w:rsidP="00113467">
      <w:pPr>
        <w:spacing w:after="120"/>
        <w:jc w:val="both"/>
        <w:rPr>
          <w:rFonts w:ascii="Times New Roman" w:eastAsia="Times New Roman" w:hAnsi="Times New Roman" w:cs="Times New Roman"/>
          <w:b/>
          <w:sz w:val="24"/>
          <w:szCs w:val="24"/>
        </w:rPr>
      </w:pPr>
      <w:r w:rsidRPr="00002CA3">
        <w:rPr>
          <w:rFonts w:ascii="Times New Roman" w:eastAsia="Times New Roman" w:hAnsi="Times New Roman" w:cs="Times New Roman"/>
          <w:b/>
          <w:sz w:val="24"/>
          <w:szCs w:val="24"/>
        </w:rPr>
        <w:t>2.4 CCUS, hydrogen, &amp; circular carbon economy</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Hydrogen features prominently in the long-term scenarios for the reduction of carbon emissions. Under the IEA Sustainable Development Scenario, the global hydrogen demand grows by over seven times by 2070. Additionally, 40% of the hydrogen comes from fossil hydrogen with CCUS technology in areas where gas is cheap (IEA, 2023a).</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In this framing:</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Blue hydrogen (gas with CCUS) offers a lower cost and scalable option for early hydrogen market development.</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Green hydrogen, produced through electrolysis, comes into the limelight with falling renewable costs and overcoming system integration issues (IRENA, 2023).</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xml:space="preserve">The Circular Carbon Economy (CCE) Outlook put forward by Saudi Arabia offers a macro perspective: CO₂ is not merely a waste that has to be placed underground, but rather has potential where it can be reduced, reused, recycled, or removed </w:t>
      </w:r>
      <w:proofErr w:type="gramStart"/>
      <w:r w:rsidRPr="00113467">
        <w:rPr>
          <w:rFonts w:ascii="Times New Roman" w:eastAsia="Times New Roman" w:hAnsi="Times New Roman" w:cs="Times New Roman"/>
          <w:sz w:val="24"/>
          <w:szCs w:val="24"/>
        </w:rPr>
        <w:t>( Ministry</w:t>
      </w:r>
      <w:proofErr w:type="gramEnd"/>
      <w:r w:rsidRPr="00113467">
        <w:rPr>
          <w:rFonts w:ascii="Times New Roman" w:eastAsia="Times New Roman" w:hAnsi="Times New Roman" w:cs="Times New Roman"/>
          <w:sz w:val="24"/>
          <w:szCs w:val="24"/>
        </w:rPr>
        <w:t xml:space="preserve"> of Energy, Kingdom of Saudi Arabia, 2020). Within the realm of CCU, there are specific focuses related to the ‘reuse’ and ‘recycle’ themes in which CO₂ is converted to fuel, chemicals, or products, or cycled back into industrial ecosystems before being finally stored or reassumed into the atmosphere in a carbon-neutral manner.</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In Saudi Arabia, the CCE is actively implemented and aligns with:</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Saudi Green Initiative and Middle East Green Initiative, aiming at significant greenhouse gas emissions cuts and low-carbon technologies (Saudi Green Initiative, 2023);</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xml:space="preserve">• Contracts regarding the development of hydrogen export solutions for Europe, with carbon intensity certification and border adjustment measures, scrutinizing the GHG emissions of imports, increasingly being considered (European Commission, 2023; European </w:t>
      </w:r>
      <w:proofErr w:type="spellStart"/>
      <w:r w:rsidRPr="00113467">
        <w:rPr>
          <w:rFonts w:ascii="Times New Roman" w:eastAsia="Times New Roman" w:hAnsi="Times New Roman" w:cs="Times New Roman"/>
          <w:sz w:val="24"/>
          <w:szCs w:val="24"/>
        </w:rPr>
        <w:t>Union,Therefore</w:t>
      </w:r>
      <w:proofErr w:type="spellEnd"/>
      <w:r w:rsidRPr="00113467">
        <w:rPr>
          <w:rFonts w:ascii="Times New Roman" w:eastAsia="Times New Roman" w:hAnsi="Times New Roman" w:cs="Times New Roman"/>
          <w:sz w:val="24"/>
          <w:szCs w:val="24"/>
        </w:rPr>
        <w:t xml:space="preserve">, CCU implementation at power plants in Saudi Arabia extends beyond domestic IPCC contributions and can directly influence the international marketability of Saudi </w:t>
      </w:r>
      <w:proofErr w:type="spellStart"/>
      <w:r w:rsidRPr="00113467">
        <w:rPr>
          <w:rFonts w:ascii="Times New Roman" w:eastAsia="Times New Roman" w:hAnsi="Times New Roman" w:cs="Times New Roman"/>
          <w:sz w:val="24"/>
          <w:szCs w:val="24"/>
        </w:rPr>
        <w:t>hydrogen.hydrogen</w:t>
      </w:r>
      <w:proofErr w:type="spellEnd"/>
      <w:r w:rsidRPr="00113467">
        <w:rPr>
          <w:rFonts w:ascii="Times New Roman" w:eastAsia="Times New Roman" w:hAnsi="Times New Roman" w:cs="Times New Roman"/>
          <w:sz w:val="24"/>
          <w:szCs w:val="24"/>
        </w:rPr>
        <w:t>.</w:t>
      </w:r>
    </w:p>
    <w:p w:rsidR="00113467" w:rsidRPr="00002CA3" w:rsidRDefault="00113467" w:rsidP="00113467">
      <w:pPr>
        <w:spacing w:after="120"/>
        <w:jc w:val="both"/>
        <w:rPr>
          <w:rFonts w:ascii="Times New Roman" w:eastAsia="Times New Roman" w:hAnsi="Times New Roman" w:cs="Times New Roman"/>
          <w:b/>
          <w:sz w:val="24"/>
          <w:szCs w:val="24"/>
        </w:rPr>
      </w:pPr>
      <w:r w:rsidRPr="00002CA3">
        <w:rPr>
          <w:rFonts w:ascii="Times New Roman" w:eastAsia="Times New Roman" w:hAnsi="Times New Roman" w:cs="Times New Roman"/>
          <w:b/>
          <w:sz w:val="24"/>
          <w:szCs w:val="24"/>
        </w:rPr>
        <w:t>3. What are Some Technology Options for CO2 Capture in Natural Gas and Oil-Fired Power Plants?</w:t>
      </w:r>
    </w:p>
    <w:p w:rsidR="00113467" w:rsidRPr="00002CA3" w:rsidRDefault="00113467" w:rsidP="00113467">
      <w:pPr>
        <w:spacing w:after="120"/>
        <w:jc w:val="both"/>
        <w:rPr>
          <w:rFonts w:ascii="Times New Roman" w:eastAsia="Times New Roman" w:hAnsi="Times New Roman" w:cs="Times New Roman"/>
          <w:b/>
          <w:sz w:val="24"/>
          <w:szCs w:val="24"/>
        </w:rPr>
      </w:pPr>
      <w:r w:rsidRPr="00002CA3">
        <w:rPr>
          <w:rFonts w:ascii="Times New Roman" w:eastAsia="Times New Roman" w:hAnsi="Times New Roman" w:cs="Times New Roman"/>
          <w:b/>
          <w:sz w:val="24"/>
          <w:szCs w:val="24"/>
        </w:rPr>
        <w:t>3.1 Post-com</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The most developed technology for retrofitting existing plants has been found to be the post-combustion capture technology by the IEA</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lastRenderedPageBreak/>
        <w:t>• The flue gas produced in a gas/oil-fired boiler or turbine is treated in an absorber to remove CO2 using a solvent (usually amine-based).</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The CO₂-rich solvent is then treated with heat in a stripper or regenerator to produce concentrated CO₂ for compression and transportation.</w:t>
      </w:r>
    </w:p>
    <w:p w:rsidR="00113467" w:rsidRPr="00E618FF" w:rsidRDefault="00113467" w:rsidP="00113467">
      <w:pPr>
        <w:spacing w:after="120"/>
        <w:jc w:val="both"/>
        <w:rPr>
          <w:rFonts w:ascii="Times New Roman" w:eastAsia="Times New Roman" w:hAnsi="Times New Roman" w:cs="Times New Roman"/>
          <w:b/>
          <w:sz w:val="24"/>
          <w:szCs w:val="24"/>
        </w:rPr>
      </w:pPr>
      <w:r w:rsidRPr="00E618FF">
        <w:rPr>
          <w:rFonts w:ascii="Times New Roman" w:eastAsia="Times New Roman" w:hAnsi="Times New Roman" w:cs="Times New Roman"/>
          <w:b/>
          <w:sz w:val="24"/>
          <w:szCs w:val="24"/>
        </w:rPr>
        <w:t>Benefits:</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It can be easily integrated with existing NGCC and thermal power stations.</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Amenable to flexible operation if capture systems are appropriately designed (Rubin et al., 2023).</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Challenges:</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Energy penalty due to steam extraction or energy for solvent regeneration, which may decrease overall efficiency by as much as 7-10 percentage points.</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Solvent degradation, or corrosion, and environmental handling of solvent waste.</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Requirement of large absorber columns and their footprint (IEA, 2021).</w:t>
      </w:r>
    </w:p>
    <w:p w:rsid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xml:space="preserve">Current R&amp;D work concentrates on the use of advanced solvents (such as precipitating, biphasic, and/or </w:t>
      </w:r>
      <w:proofErr w:type="spellStart"/>
      <w:r w:rsidRPr="00113467">
        <w:rPr>
          <w:rFonts w:ascii="Times New Roman" w:eastAsia="Times New Roman" w:hAnsi="Times New Roman" w:cs="Times New Roman"/>
          <w:sz w:val="24"/>
          <w:szCs w:val="24"/>
        </w:rPr>
        <w:t>aminated</w:t>
      </w:r>
      <w:proofErr w:type="spellEnd"/>
      <w:r w:rsidRPr="00113467">
        <w:rPr>
          <w:rFonts w:ascii="Times New Roman" w:eastAsia="Times New Roman" w:hAnsi="Times New Roman" w:cs="Times New Roman"/>
          <w:sz w:val="24"/>
          <w:szCs w:val="24"/>
        </w:rPr>
        <w:t xml:space="preserve"> solvents), process intensification (such as rotating packed bed reactors), and the integration of the process and waste heat recovery to lower energy intensity (Li et al., 2023 and Wang et al., 2024</w:t>
      </w:r>
    </w:p>
    <w:p w:rsidR="00E618FF" w:rsidRPr="00113467" w:rsidRDefault="00E618FF" w:rsidP="00113467">
      <w:pPr>
        <w:spacing w:after="120"/>
        <w:jc w:val="both"/>
        <w:rPr>
          <w:rFonts w:ascii="Times New Roman" w:eastAsia="Times New Roman" w:hAnsi="Times New Roman" w:cs="Times New Roman"/>
          <w:sz w:val="24"/>
          <w:szCs w:val="24"/>
        </w:rPr>
      </w:pPr>
    </w:p>
    <w:p w:rsidR="00113467" w:rsidRPr="00113467" w:rsidRDefault="00113467" w:rsidP="00113467">
      <w:pPr>
        <w:spacing w:after="120"/>
        <w:jc w:val="both"/>
        <w:rPr>
          <w:rFonts w:ascii="Times New Roman" w:eastAsia="Times New Roman" w:hAnsi="Times New Roman" w:cs="Times New Roman"/>
          <w:sz w:val="24"/>
          <w:szCs w:val="24"/>
        </w:rPr>
      </w:pPr>
      <w:r w:rsidRPr="00002CA3">
        <w:rPr>
          <w:rFonts w:ascii="Times New Roman" w:eastAsia="Times New Roman" w:hAnsi="Times New Roman" w:cs="Times New Roman"/>
          <w:b/>
          <w:sz w:val="24"/>
          <w:szCs w:val="24"/>
        </w:rPr>
        <w:t>3.2 Pre-combustion</w:t>
      </w:r>
      <w:r w:rsidRPr="00113467">
        <w:rPr>
          <w:rFonts w:ascii="Times New Roman" w:eastAsia="Times New Roman" w:hAnsi="Times New Roman" w:cs="Times New Roman"/>
          <w:sz w:val="24"/>
          <w:szCs w:val="24"/>
        </w:rPr>
        <w:t xml:space="preserve"> and</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xml:space="preserve">Pre-combustion capture is a more prevalent technology in coal gasification (IGCC) plants, in which the fuel is processed into </w:t>
      </w:r>
      <w:proofErr w:type="spellStart"/>
      <w:r w:rsidRPr="00113467">
        <w:rPr>
          <w:rFonts w:ascii="Times New Roman" w:eastAsia="Times New Roman" w:hAnsi="Times New Roman" w:cs="Times New Roman"/>
          <w:sz w:val="24"/>
          <w:szCs w:val="24"/>
        </w:rPr>
        <w:t>syngas</w:t>
      </w:r>
      <w:proofErr w:type="spellEnd"/>
      <w:r w:rsidRPr="00113467">
        <w:rPr>
          <w:rFonts w:ascii="Times New Roman" w:eastAsia="Times New Roman" w:hAnsi="Times New Roman" w:cs="Times New Roman"/>
          <w:sz w:val="24"/>
          <w:szCs w:val="24"/>
        </w:rPr>
        <w:t xml:space="preserve">, from which CO₂ is separated before burning (IEA, 2021). In the case of natural gas, CC can occur through hydrogen (blue hydrogen) production and </w:t>
      </w:r>
      <w:proofErr w:type="spellStart"/>
      <w:r w:rsidRPr="00113467">
        <w:rPr>
          <w:rFonts w:ascii="Times New Roman" w:eastAsia="Times New Roman" w:hAnsi="Times New Roman" w:cs="Times New Roman"/>
          <w:sz w:val="24"/>
          <w:szCs w:val="24"/>
        </w:rPr>
        <w:t>syngas</w:t>
      </w:r>
      <w:proofErr w:type="spellEnd"/>
      <w:r w:rsidRPr="00113467">
        <w:rPr>
          <w:rFonts w:ascii="Times New Roman" w:eastAsia="Times New Roman" w:hAnsi="Times New Roman" w:cs="Times New Roman"/>
          <w:sz w:val="24"/>
          <w:szCs w:val="24"/>
        </w:rPr>
        <w:t xml:space="preserve"> capture, both of which apply to processes that produce hydrogen and ammonia rather than electric power (IEA, 2023a).</w:t>
      </w:r>
    </w:p>
    <w:p w:rsidR="00113467" w:rsidRPr="00113467" w:rsidRDefault="00113467" w:rsidP="00113467">
      <w:pPr>
        <w:spacing w:after="120"/>
        <w:jc w:val="both"/>
        <w:rPr>
          <w:rFonts w:ascii="Times New Roman" w:eastAsia="Times New Roman" w:hAnsi="Times New Roman" w:cs="Times New Roman"/>
          <w:sz w:val="24"/>
          <w:szCs w:val="24"/>
        </w:rPr>
      </w:pPr>
      <w:proofErr w:type="spellStart"/>
      <w:r w:rsidRPr="00113467">
        <w:rPr>
          <w:rFonts w:ascii="Times New Roman" w:eastAsia="Times New Roman" w:hAnsi="Times New Roman" w:cs="Times New Roman"/>
          <w:sz w:val="24"/>
          <w:szCs w:val="24"/>
        </w:rPr>
        <w:t>Oxyfuel</w:t>
      </w:r>
      <w:proofErr w:type="spellEnd"/>
      <w:r w:rsidRPr="00113467">
        <w:rPr>
          <w:rFonts w:ascii="Times New Roman" w:eastAsia="Times New Roman" w:hAnsi="Times New Roman" w:cs="Times New Roman"/>
          <w:sz w:val="24"/>
          <w:szCs w:val="24"/>
        </w:rPr>
        <w:t xml:space="preserve"> combustion is the combustion of fuel in oxygen (using recycled flue gas to produce a concentrated flue gas containing CO2 and H2O to enable easier capture of CO2 (IPCC, 2022). Although this is very attractive on paper, the large-scale implementation of this technology has yet to occur for the NGCC system owing to the high cost of air-separation units (IEA, 2021).</w:t>
      </w:r>
      <w:r w:rsidR="00E618FF">
        <w:rPr>
          <w:rFonts w:ascii="Times New Roman" w:eastAsia="Times New Roman" w:hAnsi="Times New Roman" w:cs="Times New Roman"/>
          <w:sz w:val="24"/>
          <w:szCs w:val="24"/>
        </w:rPr>
        <w:br/>
      </w:r>
    </w:p>
    <w:p w:rsidR="00113467" w:rsidRPr="00002CA3" w:rsidRDefault="00113467" w:rsidP="00113467">
      <w:pPr>
        <w:spacing w:after="120"/>
        <w:jc w:val="both"/>
        <w:rPr>
          <w:rFonts w:ascii="Times New Roman" w:eastAsia="Times New Roman" w:hAnsi="Times New Roman" w:cs="Times New Roman"/>
          <w:b/>
          <w:sz w:val="24"/>
          <w:szCs w:val="24"/>
        </w:rPr>
      </w:pPr>
      <w:r w:rsidRPr="00002CA3">
        <w:rPr>
          <w:rFonts w:ascii="Times New Roman" w:eastAsia="Times New Roman" w:hAnsi="Times New Roman" w:cs="Times New Roman"/>
          <w:b/>
          <w:sz w:val="24"/>
          <w:szCs w:val="24"/>
        </w:rPr>
        <w:t>3.3 Advanced Cycles and Hybrid Schemes</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More recent research has focused on advanced cycles, which have the capability of producing high-purity CO2 gas by design</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xml:space="preserve">• </w:t>
      </w:r>
      <w:proofErr w:type="spellStart"/>
      <w:r w:rsidRPr="00113467">
        <w:rPr>
          <w:rFonts w:ascii="Times New Roman" w:eastAsia="Times New Roman" w:hAnsi="Times New Roman" w:cs="Times New Roman"/>
          <w:sz w:val="24"/>
          <w:szCs w:val="24"/>
        </w:rPr>
        <w:t>Allam-Fetvedt</w:t>
      </w:r>
      <w:proofErr w:type="spellEnd"/>
      <w:r w:rsidRPr="00113467">
        <w:rPr>
          <w:rFonts w:ascii="Times New Roman" w:eastAsia="Times New Roman" w:hAnsi="Times New Roman" w:cs="Times New Roman"/>
          <w:sz w:val="24"/>
          <w:szCs w:val="24"/>
        </w:rPr>
        <w:t xml:space="preserve"> cycle is an </w:t>
      </w:r>
      <w:proofErr w:type="spellStart"/>
      <w:r w:rsidRPr="00113467">
        <w:rPr>
          <w:rFonts w:ascii="Times New Roman" w:eastAsia="Times New Roman" w:hAnsi="Times New Roman" w:cs="Times New Roman"/>
          <w:sz w:val="24"/>
          <w:szCs w:val="24"/>
        </w:rPr>
        <w:t>oxyfuel</w:t>
      </w:r>
      <w:proofErr w:type="spellEnd"/>
      <w:r w:rsidRPr="00113467">
        <w:rPr>
          <w:rFonts w:ascii="Times New Roman" w:eastAsia="Times New Roman" w:hAnsi="Times New Roman" w:cs="Times New Roman"/>
          <w:sz w:val="24"/>
          <w:szCs w:val="24"/>
        </w:rPr>
        <w:t xml:space="preserve"> natural gas cycle that relies on supercritical CO₂ as the working fluid. This has the advantage of potentially lower energy penalty for CO₂ capture. This </w:t>
      </w:r>
      <w:r w:rsidRPr="00113467">
        <w:rPr>
          <w:rFonts w:ascii="Times New Roman" w:eastAsia="Times New Roman" w:hAnsi="Times New Roman" w:cs="Times New Roman"/>
          <w:sz w:val="24"/>
          <w:szCs w:val="24"/>
        </w:rPr>
        <w:lastRenderedPageBreak/>
        <w:t xml:space="preserve">technology has been proven in a 50-MW demonstration plant in the United States. • Chemical-looping combustion (CLC) is a technology based on the use of metal oxides to oxygenate fuels, generating a high-concentration stream of CO2 (Zhao et al., 2023). Additionally, its integration with the natural gas combined cycle is highlighted for the potential reduction in capture cost. Hybrid schemes integrating post-C capture with staging using </w:t>
      </w:r>
      <w:proofErr w:type="spellStart"/>
      <w:r w:rsidRPr="00113467">
        <w:rPr>
          <w:rFonts w:ascii="Times New Roman" w:eastAsia="Times New Roman" w:hAnsi="Times New Roman" w:cs="Times New Roman"/>
          <w:sz w:val="24"/>
          <w:szCs w:val="24"/>
        </w:rPr>
        <w:t>oxyfuel</w:t>
      </w:r>
      <w:proofErr w:type="spellEnd"/>
      <w:r w:rsidRPr="00113467">
        <w:rPr>
          <w:rFonts w:ascii="Times New Roman" w:eastAsia="Times New Roman" w:hAnsi="Times New Roman" w:cs="Times New Roman"/>
          <w:sz w:val="24"/>
          <w:szCs w:val="24"/>
        </w:rPr>
        <w:t xml:space="preserve"> or CLC could offer optimization options for cost, efficiency, and flexibility (Zhao et al., 2023). In the case of Saudi Arabia, these strategies are of particular interest for building new power plants in industrial hubs, where infrastructure for long-term CCUS deployment will be established.</w:t>
      </w:r>
    </w:p>
    <w:p w:rsidR="00113467" w:rsidRPr="00002CA3" w:rsidRDefault="00113467" w:rsidP="00113467">
      <w:pPr>
        <w:spacing w:after="120"/>
        <w:jc w:val="both"/>
        <w:rPr>
          <w:rFonts w:ascii="Times New Roman" w:eastAsia="Times New Roman" w:hAnsi="Times New Roman" w:cs="Times New Roman"/>
          <w:b/>
          <w:sz w:val="24"/>
          <w:szCs w:val="24"/>
        </w:rPr>
      </w:pPr>
      <w:r w:rsidRPr="00002CA3">
        <w:rPr>
          <w:rFonts w:ascii="Times New Roman" w:eastAsia="Times New Roman" w:hAnsi="Times New Roman" w:cs="Times New Roman"/>
          <w:b/>
          <w:sz w:val="24"/>
          <w:szCs w:val="24"/>
        </w:rPr>
        <w:t>3.4 CO₂ transport and storage infrastructure</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xml:space="preserve">Capture is only one part of the chain; transport and storage infrastructure shape both cost and feasibility. Saudi initiatives include (Saudi </w:t>
      </w:r>
      <w:proofErr w:type="spellStart"/>
      <w:r w:rsidRPr="00113467">
        <w:rPr>
          <w:rFonts w:ascii="Times New Roman" w:eastAsia="Times New Roman" w:hAnsi="Times New Roman" w:cs="Times New Roman"/>
          <w:sz w:val="24"/>
          <w:szCs w:val="24"/>
        </w:rPr>
        <w:t>Aramco</w:t>
      </w:r>
      <w:proofErr w:type="spellEnd"/>
      <w:r w:rsidRPr="00113467">
        <w:rPr>
          <w:rFonts w:ascii="Times New Roman" w:eastAsia="Times New Roman" w:hAnsi="Times New Roman" w:cs="Times New Roman"/>
          <w:sz w:val="24"/>
          <w:szCs w:val="24"/>
        </w:rPr>
        <w:t>, 2023; 2024):</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xml:space="preserve">• Existing CO₂ pipeline from </w:t>
      </w:r>
      <w:proofErr w:type="spellStart"/>
      <w:r w:rsidRPr="00113467">
        <w:rPr>
          <w:rFonts w:ascii="Times New Roman" w:eastAsia="Times New Roman" w:hAnsi="Times New Roman" w:cs="Times New Roman"/>
          <w:sz w:val="24"/>
          <w:szCs w:val="24"/>
        </w:rPr>
        <w:t>Hawiyah</w:t>
      </w:r>
      <w:proofErr w:type="spellEnd"/>
      <w:r w:rsidRPr="00113467">
        <w:rPr>
          <w:rFonts w:ascii="Times New Roman" w:eastAsia="Times New Roman" w:hAnsi="Times New Roman" w:cs="Times New Roman"/>
          <w:sz w:val="24"/>
          <w:szCs w:val="24"/>
        </w:rPr>
        <w:t xml:space="preserve"> NGL plant to </w:t>
      </w:r>
      <w:proofErr w:type="spellStart"/>
      <w:r w:rsidRPr="00113467">
        <w:rPr>
          <w:rFonts w:ascii="Times New Roman" w:eastAsia="Times New Roman" w:hAnsi="Times New Roman" w:cs="Times New Roman"/>
          <w:sz w:val="24"/>
          <w:szCs w:val="24"/>
        </w:rPr>
        <w:t>Uthmaniyah</w:t>
      </w:r>
      <w:proofErr w:type="spellEnd"/>
      <w:r w:rsidRPr="00113467">
        <w:rPr>
          <w:rFonts w:ascii="Times New Roman" w:eastAsia="Times New Roman" w:hAnsi="Times New Roman" w:cs="Times New Roman"/>
          <w:sz w:val="24"/>
          <w:szCs w:val="24"/>
        </w:rPr>
        <w:t>, transporting captured CO₂ for EOR and storage.</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xml:space="preserve">• The planned </w:t>
      </w:r>
      <w:proofErr w:type="spellStart"/>
      <w:r w:rsidRPr="00113467">
        <w:rPr>
          <w:rFonts w:ascii="Times New Roman" w:eastAsia="Times New Roman" w:hAnsi="Times New Roman" w:cs="Times New Roman"/>
          <w:sz w:val="24"/>
          <w:szCs w:val="24"/>
        </w:rPr>
        <w:t>Jubail</w:t>
      </w:r>
      <w:proofErr w:type="spellEnd"/>
      <w:r w:rsidRPr="00113467">
        <w:rPr>
          <w:rFonts w:ascii="Times New Roman" w:eastAsia="Times New Roman" w:hAnsi="Times New Roman" w:cs="Times New Roman"/>
          <w:sz w:val="24"/>
          <w:szCs w:val="24"/>
        </w:rPr>
        <w:t xml:space="preserve"> CCUS hub, which aggregates CO₂ from multiple emitters and transports it to suitable storage sites, leveraging economies of scale to reduce unit costs.</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xml:space="preserve">For hydrogen clusters in NEOM and </w:t>
      </w:r>
      <w:proofErr w:type="spellStart"/>
      <w:r w:rsidRPr="00113467">
        <w:rPr>
          <w:rFonts w:ascii="Times New Roman" w:eastAsia="Times New Roman" w:hAnsi="Times New Roman" w:cs="Times New Roman"/>
          <w:sz w:val="24"/>
          <w:szCs w:val="24"/>
        </w:rPr>
        <w:t>Yanbu</w:t>
      </w:r>
      <w:proofErr w:type="spellEnd"/>
      <w:r w:rsidRPr="00113467">
        <w:rPr>
          <w:rFonts w:ascii="Times New Roman" w:eastAsia="Times New Roman" w:hAnsi="Times New Roman" w:cs="Times New Roman"/>
          <w:sz w:val="24"/>
          <w:szCs w:val="24"/>
        </w:rPr>
        <w:t>, similar shared CCUS hubs will be essential if blue hydrogen and CCU-enabled gas power play a significant role (ACWA Power, 2024).</w:t>
      </w:r>
    </w:p>
    <w:p w:rsidR="00113467" w:rsidRPr="00113467" w:rsidRDefault="00113467" w:rsidP="00113467">
      <w:pPr>
        <w:numPr>
          <w:ilvl w:val="0"/>
          <w:numId w:val="5"/>
        </w:numPr>
        <w:spacing w:before="120"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CO₂ Utilization Pathways Supporting the Circular Carbon Economy</w:t>
      </w:r>
    </w:p>
    <w:p w:rsidR="003458BE"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In a CCE-oriented system, captured CO₂ from power plants is not simply stored; it can be valorized in a range of applications before final storage or re-release under net-neutral conditions (Ministry of Energy, Saudi Arabia, 2020).</w:t>
      </w:r>
    </w:p>
    <w:p w:rsidR="00113467" w:rsidRPr="00002CA3" w:rsidRDefault="00E618FF" w:rsidP="00113467">
      <w:pPr>
        <w:spacing w:after="120"/>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br/>
      </w:r>
    </w:p>
    <w:p w:rsidR="00113467" w:rsidRPr="00002CA3" w:rsidRDefault="00113467" w:rsidP="00113467">
      <w:pPr>
        <w:spacing w:after="120"/>
        <w:jc w:val="both"/>
        <w:rPr>
          <w:rFonts w:ascii="Times New Roman" w:eastAsia="Times New Roman" w:hAnsi="Times New Roman" w:cs="Times New Roman"/>
          <w:b/>
          <w:sz w:val="24"/>
          <w:szCs w:val="24"/>
        </w:rPr>
      </w:pPr>
      <w:r w:rsidRPr="00002CA3">
        <w:rPr>
          <w:rFonts w:ascii="Times New Roman" w:eastAsia="Times New Roman" w:hAnsi="Times New Roman" w:cs="Times New Roman"/>
          <w:b/>
          <w:sz w:val="24"/>
          <w:szCs w:val="24"/>
        </w:rPr>
        <w:t>4.1 Enhanced oil recovery and reservoir management</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xml:space="preserve">Saudi </w:t>
      </w:r>
      <w:proofErr w:type="spellStart"/>
      <w:r w:rsidRPr="00113467">
        <w:rPr>
          <w:rFonts w:ascii="Times New Roman" w:eastAsia="Times New Roman" w:hAnsi="Times New Roman" w:cs="Times New Roman"/>
          <w:sz w:val="24"/>
          <w:szCs w:val="24"/>
        </w:rPr>
        <w:t>Aramco</w:t>
      </w:r>
      <w:proofErr w:type="spellEnd"/>
      <w:r w:rsidRPr="00113467">
        <w:rPr>
          <w:rFonts w:ascii="Times New Roman" w:eastAsia="Times New Roman" w:hAnsi="Times New Roman" w:cs="Times New Roman"/>
          <w:sz w:val="24"/>
          <w:szCs w:val="24"/>
        </w:rPr>
        <w:t xml:space="preserve"> has used captured CO₂ from </w:t>
      </w:r>
      <w:proofErr w:type="spellStart"/>
      <w:r w:rsidRPr="00113467">
        <w:rPr>
          <w:rFonts w:ascii="Times New Roman" w:eastAsia="Times New Roman" w:hAnsi="Times New Roman" w:cs="Times New Roman"/>
          <w:sz w:val="24"/>
          <w:szCs w:val="24"/>
        </w:rPr>
        <w:t>Hawiyah</w:t>
      </w:r>
      <w:proofErr w:type="spellEnd"/>
      <w:r w:rsidRPr="00113467">
        <w:rPr>
          <w:rFonts w:ascii="Times New Roman" w:eastAsia="Times New Roman" w:hAnsi="Times New Roman" w:cs="Times New Roman"/>
          <w:sz w:val="24"/>
          <w:szCs w:val="24"/>
        </w:rPr>
        <w:t xml:space="preserve"> for CO₂-EOR in </w:t>
      </w:r>
      <w:proofErr w:type="spellStart"/>
      <w:r w:rsidRPr="00113467">
        <w:rPr>
          <w:rFonts w:ascii="Times New Roman" w:eastAsia="Times New Roman" w:hAnsi="Times New Roman" w:cs="Times New Roman"/>
          <w:sz w:val="24"/>
          <w:szCs w:val="24"/>
        </w:rPr>
        <w:t>Uthmaniyah</w:t>
      </w:r>
      <w:proofErr w:type="spellEnd"/>
      <w:r w:rsidRPr="00113467">
        <w:rPr>
          <w:rFonts w:ascii="Times New Roman" w:eastAsia="Times New Roman" w:hAnsi="Times New Roman" w:cs="Times New Roman"/>
          <w:sz w:val="24"/>
          <w:szCs w:val="24"/>
        </w:rPr>
        <w:t xml:space="preserve">, maintaining reservoir pressure, improving oil recovery, and sequestering CO₂ (Saudi </w:t>
      </w:r>
      <w:proofErr w:type="spellStart"/>
      <w:r w:rsidRPr="00113467">
        <w:rPr>
          <w:rFonts w:ascii="Times New Roman" w:eastAsia="Times New Roman" w:hAnsi="Times New Roman" w:cs="Times New Roman"/>
          <w:sz w:val="24"/>
          <w:szCs w:val="24"/>
        </w:rPr>
        <w:t>Aramco</w:t>
      </w:r>
      <w:proofErr w:type="spellEnd"/>
      <w:r w:rsidRPr="00113467">
        <w:rPr>
          <w:rFonts w:ascii="Times New Roman" w:eastAsia="Times New Roman" w:hAnsi="Times New Roman" w:cs="Times New Roman"/>
          <w:sz w:val="24"/>
          <w:szCs w:val="24"/>
        </w:rPr>
        <w:t>, 2023). This aligns with CCE by:</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Extending the value of existing hydrocarbon assets;</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Providing a near-term utilization option for captured CO₂ while storage sites and monitoring frameworks mature.</w:t>
      </w:r>
    </w:p>
    <w:p w:rsidR="003458BE"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However, for hydrogen export markets with strict sustainability criteria, CO₂ used in EOR may be viewed differently from CO₂ used in long-lived materials or permanently stored (European Union, 2023). Research is needed to quantify the net climate benefits of CO₂-EOR in various scenarios and communicate them credibly to importing countries.</w:t>
      </w:r>
    </w:p>
    <w:p w:rsidR="00113467" w:rsidRPr="00113467" w:rsidRDefault="00E618FF" w:rsidP="00113467">
      <w:pPr>
        <w:spacing w:after="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br/>
      </w:r>
    </w:p>
    <w:p w:rsidR="00113467" w:rsidRPr="00002CA3" w:rsidRDefault="00113467" w:rsidP="00113467">
      <w:pPr>
        <w:spacing w:after="120"/>
        <w:jc w:val="both"/>
        <w:rPr>
          <w:rFonts w:ascii="Times New Roman" w:eastAsia="Times New Roman" w:hAnsi="Times New Roman" w:cs="Times New Roman"/>
          <w:b/>
          <w:sz w:val="24"/>
          <w:szCs w:val="24"/>
        </w:rPr>
      </w:pPr>
      <w:r w:rsidRPr="00002CA3">
        <w:rPr>
          <w:rFonts w:ascii="Times New Roman" w:eastAsia="Times New Roman" w:hAnsi="Times New Roman" w:cs="Times New Roman"/>
          <w:b/>
          <w:sz w:val="24"/>
          <w:szCs w:val="24"/>
        </w:rPr>
        <w:t>4.2 Industrial utilization: chemicals, fuels, and materials</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CO₂ captured from power plants can serve as feedstock for (IRENA, 2022):</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Synthetic fuels (e-fuels), when combined with low-carbon hydrogen (e.g., methanol, synthetic kerosene).</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Chemicals such as urea, methanol, or polycarbonates.</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Mineralization in building materials (e.g., curing concrete with CO₂ or producing carbonates from industrial wastes) (Carbon Cure, 2023).</w:t>
      </w:r>
    </w:p>
    <w:p w:rsidR="00113467" w:rsidRPr="00002CA3" w:rsidRDefault="00113467" w:rsidP="00113467">
      <w:pPr>
        <w:spacing w:after="120"/>
        <w:jc w:val="both"/>
        <w:rPr>
          <w:rFonts w:ascii="Times New Roman" w:eastAsia="Times New Roman" w:hAnsi="Times New Roman" w:cs="Times New Roman"/>
          <w:b/>
          <w:sz w:val="24"/>
          <w:szCs w:val="24"/>
        </w:rPr>
      </w:pPr>
      <w:r w:rsidRPr="00113467">
        <w:rPr>
          <w:rFonts w:ascii="Times New Roman" w:eastAsia="Times New Roman" w:hAnsi="Times New Roman" w:cs="Times New Roman"/>
          <w:sz w:val="24"/>
          <w:szCs w:val="24"/>
        </w:rPr>
        <w:t xml:space="preserve">For Saudi Arabia, with strong petrochemicals and materials industries, integrating CO₂ utilization into existing industrial value chains is a logical step. CCU pathways that convert CO₂ into exportable products (e.g., synthetic fuels, advanced materials) can complement hydrogen exports, diversify revenue streams, and enhance the circular carbon narrative (Saudi </w:t>
      </w:r>
      <w:proofErr w:type="spellStart"/>
      <w:r w:rsidRPr="00113467">
        <w:rPr>
          <w:rFonts w:ascii="Times New Roman" w:eastAsia="Times New Roman" w:hAnsi="Times New Roman" w:cs="Times New Roman"/>
          <w:sz w:val="24"/>
          <w:szCs w:val="24"/>
        </w:rPr>
        <w:t>Aramco</w:t>
      </w:r>
      <w:proofErr w:type="spellEnd"/>
      <w:r w:rsidRPr="00113467">
        <w:rPr>
          <w:rFonts w:ascii="Times New Roman" w:eastAsia="Times New Roman" w:hAnsi="Times New Roman" w:cs="Times New Roman"/>
          <w:sz w:val="24"/>
          <w:szCs w:val="24"/>
        </w:rPr>
        <w:t>, 2024).</w:t>
      </w:r>
      <w:r w:rsidR="00E618FF">
        <w:rPr>
          <w:rFonts w:ascii="Times New Roman" w:eastAsia="Times New Roman" w:hAnsi="Times New Roman" w:cs="Times New Roman"/>
          <w:sz w:val="24"/>
          <w:szCs w:val="24"/>
        </w:rPr>
        <w:br/>
      </w:r>
    </w:p>
    <w:p w:rsidR="00113467" w:rsidRPr="00002CA3" w:rsidRDefault="00113467" w:rsidP="00113467">
      <w:pPr>
        <w:spacing w:after="120"/>
        <w:jc w:val="both"/>
        <w:rPr>
          <w:rFonts w:ascii="Times New Roman" w:eastAsia="Times New Roman" w:hAnsi="Times New Roman" w:cs="Times New Roman"/>
          <w:b/>
          <w:sz w:val="24"/>
          <w:szCs w:val="24"/>
        </w:rPr>
      </w:pPr>
      <w:r w:rsidRPr="00002CA3">
        <w:rPr>
          <w:rFonts w:ascii="Times New Roman" w:eastAsia="Times New Roman" w:hAnsi="Times New Roman" w:cs="Times New Roman"/>
          <w:b/>
          <w:sz w:val="24"/>
          <w:szCs w:val="24"/>
        </w:rPr>
        <w:t>4.3 Direct air capture (DAC) and synthetic fuels</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xml:space="preserve">Saudi </w:t>
      </w:r>
      <w:proofErr w:type="spellStart"/>
      <w:r w:rsidRPr="00113467">
        <w:rPr>
          <w:rFonts w:ascii="Times New Roman" w:eastAsia="Times New Roman" w:hAnsi="Times New Roman" w:cs="Times New Roman"/>
          <w:sz w:val="24"/>
          <w:szCs w:val="24"/>
        </w:rPr>
        <w:t>Aramco</w:t>
      </w:r>
      <w:proofErr w:type="spellEnd"/>
      <w:r w:rsidRPr="00113467">
        <w:rPr>
          <w:rFonts w:ascii="Times New Roman" w:eastAsia="Times New Roman" w:hAnsi="Times New Roman" w:cs="Times New Roman"/>
          <w:sz w:val="24"/>
          <w:szCs w:val="24"/>
        </w:rPr>
        <w:t xml:space="preserve"> has also initiated a pilot direct air capture (DAC) unit capable of removing around 12 </w:t>
      </w:r>
      <w:proofErr w:type="spellStart"/>
      <w:r w:rsidRPr="00113467">
        <w:rPr>
          <w:rFonts w:ascii="Times New Roman" w:eastAsia="Times New Roman" w:hAnsi="Times New Roman" w:cs="Times New Roman"/>
          <w:sz w:val="24"/>
          <w:szCs w:val="24"/>
        </w:rPr>
        <w:t>tonnes</w:t>
      </w:r>
      <w:proofErr w:type="spellEnd"/>
      <w:r w:rsidRPr="00113467">
        <w:rPr>
          <w:rFonts w:ascii="Times New Roman" w:eastAsia="Times New Roman" w:hAnsi="Times New Roman" w:cs="Times New Roman"/>
          <w:sz w:val="24"/>
          <w:szCs w:val="24"/>
        </w:rPr>
        <w:t xml:space="preserve"> of CO₂ per year, with a roadmap to scale up to ~1,250 </w:t>
      </w:r>
      <w:proofErr w:type="spellStart"/>
      <w:r w:rsidRPr="00113467">
        <w:rPr>
          <w:rFonts w:ascii="Times New Roman" w:eastAsia="Times New Roman" w:hAnsi="Times New Roman" w:cs="Times New Roman"/>
          <w:sz w:val="24"/>
          <w:szCs w:val="24"/>
        </w:rPr>
        <w:t>tonnes</w:t>
      </w:r>
      <w:proofErr w:type="spellEnd"/>
      <w:r w:rsidRPr="00113467">
        <w:rPr>
          <w:rFonts w:ascii="Times New Roman" w:eastAsia="Times New Roman" w:hAnsi="Times New Roman" w:cs="Times New Roman"/>
          <w:sz w:val="24"/>
          <w:szCs w:val="24"/>
        </w:rPr>
        <w:t xml:space="preserve"> per year (Saudi </w:t>
      </w:r>
      <w:proofErr w:type="spellStart"/>
      <w:r w:rsidRPr="00113467">
        <w:rPr>
          <w:rFonts w:ascii="Times New Roman" w:eastAsia="Times New Roman" w:hAnsi="Times New Roman" w:cs="Times New Roman"/>
          <w:sz w:val="24"/>
          <w:szCs w:val="24"/>
        </w:rPr>
        <w:t>Aramco</w:t>
      </w:r>
      <w:proofErr w:type="spellEnd"/>
      <w:r w:rsidRPr="00113467">
        <w:rPr>
          <w:rFonts w:ascii="Times New Roman" w:eastAsia="Times New Roman" w:hAnsi="Times New Roman" w:cs="Times New Roman"/>
          <w:sz w:val="24"/>
          <w:szCs w:val="24"/>
        </w:rPr>
        <w:t>, 2024). The company sees captured CO₂ as a potential feedstock for sustainable chemicals and fuels. While DAC is currently more expensive than point-source capture, it offers (IEA, 2022):</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A pathway to negative emissions when paired with storage.</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A source of “atmospheric CO₂” for synthetic fuels that may qualify for premium “net-zero” products in export markets.</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xml:space="preserve">Coupling DAC with Saudi’s low-cost </w:t>
      </w:r>
      <w:proofErr w:type="spellStart"/>
      <w:r w:rsidRPr="00113467">
        <w:rPr>
          <w:rFonts w:ascii="Times New Roman" w:eastAsia="Times New Roman" w:hAnsi="Times New Roman" w:cs="Times New Roman"/>
          <w:sz w:val="24"/>
          <w:szCs w:val="24"/>
        </w:rPr>
        <w:t>renewables</w:t>
      </w:r>
      <w:proofErr w:type="spellEnd"/>
      <w:r w:rsidRPr="00113467">
        <w:rPr>
          <w:rFonts w:ascii="Times New Roman" w:eastAsia="Times New Roman" w:hAnsi="Times New Roman" w:cs="Times New Roman"/>
          <w:sz w:val="24"/>
          <w:szCs w:val="24"/>
        </w:rPr>
        <w:t xml:space="preserve"> and hydrogen could, over time, create a high-value synthetic fuel export segment, complementary to hydrogen and ammonia (IRENA, 2023).</w:t>
      </w:r>
      <w:r w:rsidR="00E618FF">
        <w:rPr>
          <w:rFonts w:ascii="Times New Roman" w:eastAsia="Times New Roman" w:hAnsi="Times New Roman" w:cs="Times New Roman"/>
          <w:sz w:val="24"/>
          <w:szCs w:val="24"/>
        </w:rPr>
        <w:br/>
      </w:r>
    </w:p>
    <w:p w:rsidR="00113467" w:rsidRPr="00002CA3" w:rsidRDefault="00113467" w:rsidP="00113467">
      <w:pPr>
        <w:spacing w:after="120"/>
        <w:jc w:val="both"/>
        <w:rPr>
          <w:rFonts w:ascii="Times New Roman" w:eastAsia="Times New Roman" w:hAnsi="Times New Roman" w:cs="Times New Roman"/>
          <w:b/>
          <w:sz w:val="24"/>
          <w:szCs w:val="24"/>
        </w:rPr>
      </w:pPr>
      <w:r w:rsidRPr="00002CA3">
        <w:rPr>
          <w:rFonts w:ascii="Times New Roman" w:eastAsia="Times New Roman" w:hAnsi="Times New Roman" w:cs="Times New Roman"/>
          <w:b/>
          <w:i/>
          <w:iCs/>
          <w:sz w:val="24"/>
          <w:szCs w:val="24"/>
        </w:rPr>
        <w:t>5. Saudi Hydrogen Export Ambitions and the Role of CCU in Power Plants</w:t>
      </w:r>
    </w:p>
    <w:p w:rsidR="00113467" w:rsidRPr="00002CA3" w:rsidRDefault="00113467" w:rsidP="00113467">
      <w:pPr>
        <w:spacing w:after="120"/>
        <w:jc w:val="both"/>
        <w:rPr>
          <w:rFonts w:ascii="Times New Roman" w:eastAsia="Times New Roman" w:hAnsi="Times New Roman" w:cs="Times New Roman"/>
          <w:b/>
          <w:sz w:val="24"/>
          <w:szCs w:val="24"/>
        </w:rPr>
      </w:pPr>
      <w:r w:rsidRPr="00002CA3">
        <w:rPr>
          <w:rFonts w:ascii="Times New Roman" w:eastAsia="Times New Roman" w:hAnsi="Times New Roman" w:cs="Times New Roman"/>
          <w:b/>
          <w:sz w:val="24"/>
          <w:szCs w:val="24"/>
        </w:rPr>
        <w:t>5.1 Hydrogen mega-projects and export strategy</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Saudi Arabia is positioning itself as a global leader in green and low-carbon hydrogen through projects such as (ACWA Power, 2024; Air Products, 2023):</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xml:space="preserve">• NEOM Green Hydrogen Company (NGHC): a USD 8.4 billion project integrating 4 GW of solar and wind power to produce up to 600 </w:t>
      </w:r>
      <w:proofErr w:type="spellStart"/>
      <w:r w:rsidRPr="00113467">
        <w:rPr>
          <w:rFonts w:ascii="Times New Roman" w:eastAsia="Times New Roman" w:hAnsi="Times New Roman" w:cs="Times New Roman"/>
          <w:sz w:val="24"/>
          <w:szCs w:val="24"/>
        </w:rPr>
        <w:t>tonnes</w:t>
      </w:r>
      <w:proofErr w:type="spellEnd"/>
      <w:r w:rsidRPr="00113467">
        <w:rPr>
          <w:rFonts w:ascii="Times New Roman" w:eastAsia="Times New Roman" w:hAnsi="Times New Roman" w:cs="Times New Roman"/>
          <w:sz w:val="24"/>
          <w:szCs w:val="24"/>
        </w:rPr>
        <w:t xml:space="preserve"> per day of green hydrogen equivalent in the form of green ammonia for export.</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lastRenderedPageBreak/>
        <w:t xml:space="preserve">• </w:t>
      </w:r>
      <w:proofErr w:type="spellStart"/>
      <w:r w:rsidRPr="00113467">
        <w:rPr>
          <w:rFonts w:ascii="Times New Roman" w:eastAsia="Times New Roman" w:hAnsi="Times New Roman" w:cs="Times New Roman"/>
          <w:sz w:val="24"/>
          <w:szCs w:val="24"/>
        </w:rPr>
        <w:t>Yanbu</w:t>
      </w:r>
      <w:proofErr w:type="spellEnd"/>
      <w:r w:rsidRPr="00113467">
        <w:rPr>
          <w:rFonts w:ascii="Times New Roman" w:eastAsia="Times New Roman" w:hAnsi="Times New Roman" w:cs="Times New Roman"/>
          <w:sz w:val="24"/>
          <w:szCs w:val="24"/>
        </w:rPr>
        <w:t xml:space="preserve"> green hydrogen and ammonia complex: planned capacity of 400,000 </w:t>
      </w:r>
      <w:proofErr w:type="spellStart"/>
      <w:r w:rsidRPr="00113467">
        <w:rPr>
          <w:rFonts w:ascii="Times New Roman" w:eastAsia="Times New Roman" w:hAnsi="Times New Roman" w:cs="Times New Roman"/>
          <w:sz w:val="24"/>
          <w:szCs w:val="24"/>
        </w:rPr>
        <w:t>tonnes</w:t>
      </w:r>
      <w:proofErr w:type="spellEnd"/>
      <w:r w:rsidRPr="00113467">
        <w:rPr>
          <w:rFonts w:ascii="Times New Roman" w:eastAsia="Times New Roman" w:hAnsi="Times New Roman" w:cs="Times New Roman"/>
          <w:sz w:val="24"/>
          <w:szCs w:val="24"/>
        </w:rPr>
        <w:t xml:space="preserve"> of green hydrogen and 2.8 million </w:t>
      </w:r>
      <w:proofErr w:type="spellStart"/>
      <w:r w:rsidRPr="00113467">
        <w:rPr>
          <w:rFonts w:ascii="Times New Roman" w:eastAsia="Times New Roman" w:hAnsi="Times New Roman" w:cs="Times New Roman"/>
          <w:sz w:val="24"/>
          <w:szCs w:val="24"/>
        </w:rPr>
        <w:t>tonnes</w:t>
      </w:r>
      <w:proofErr w:type="spellEnd"/>
      <w:r w:rsidRPr="00113467">
        <w:rPr>
          <w:rFonts w:ascii="Times New Roman" w:eastAsia="Times New Roman" w:hAnsi="Times New Roman" w:cs="Times New Roman"/>
          <w:sz w:val="24"/>
          <w:szCs w:val="24"/>
        </w:rPr>
        <w:t xml:space="preserve"> of green ammonia per year by 2030.</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xml:space="preserve">• Broader agreements with European utilities and energy companies to import Saudi hydrogen and ammonia as part of Europe’s </w:t>
      </w:r>
      <w:proofErr w:type="spellStart"/>
      <w:r w:rsidRPr="00113467">
        <w:rPr>
          <w:rFonts w:ascii="Times New Roman" w:eastAsia="Times New Roman" w:hAnsi="Times New Roman" w:cs="Times New Roman"/>
          <w:sz w:val="24"/>
          <w:szCs w:val="24"/>
        </w:rPr>
        <w:t>decarbonization</w:t>
      </w:r>
      <w:proofErr w:type="spellEnd"/>
      <w:r w:rsidRPr="00113467">
        <w:rPr>
          <w:rFonts w:ascii="Times New Roman" w:eastAsia="Times New Roman" w:hAnsi="Times New Roman" w:cs="Times New Roman"/>
          <w:sz w:val="24"/>
          <w:szCs w:val="24"/>
        </w:rPr>
        <w:t xml:space="preserve"> plans (European Commission, 2023).</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These projects align with Saudi officials’ statements that the Kingdom aims to meet up to 10% of global green hydrogen demand in the coming decades (Vision 2030, 2023).</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xml:space="preserve">However, large green hydrogen hubs involve more than just </w:t>
      </w:r>
      <w:proofErr w:type="spellStart"/>
      <w:r w:rsidRPr="00113467">
        <w:rPr>
          <w:rFonts w:ascii="Times New Roman" w:eastAsia="Times New Roman" w:hAnsi="Times New Roman" w:cs="Times New Roman"/>
          <w:sz w:val="24"/>
          <w:szCs w:val="24"/>
        </w:rPr>
        <w:t>electrolyzers</w:t>
      </w:r>
      <w:proofErr w:type="spellEnd"/>
      <w:r w:rsidRPr="00113467">
        <w:rPr>
          <w:rFonts w:ascii="Times New Roman" w:eastAsia="Times New Roman" w:hAnsi="Times New Roman" w:cs="Times New Roman"/>
          <w:sz w:val="24"/>
          <w:szCs w:val="24"/>
        </w:rPr>
        <w:t>:</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Desalination to supply ultra-pure water;</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Grid balancing and backup power, often using gas-fired plants;</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Compression, liquefaction, or conversion to ammonia;</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Transport from remote locations (e.g., NEOM) to ports and export terminals.</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CCU at gas-fired power plants, desalination co-generation units, and industrial processes can substantially reduce the overall carbon intensity of the hydrogen and ammonia exported from these hubs (IEA, 2023a).</w:t>
      </w:r>
    </w:p>
    <w:p w:rsidR="00113467" w:rsidRPr="00002CA3" w:rsidRDefault="00113467" w:rsidP="00113467">
      <w:pPr>
        <w:spacing w:after="120"/>
        <w:jc w:val="both"/>
        <w:rPr>
          <w:rFonts w:ascii="Times New Roman" w:eastAsia="Times New Roman" w:hAnsi="Times New Roman" w:cs="Times New Roman"/>
          <w:b/>
          <w:sz w:val="24"/>
          <w:szCs w:val="24"/>
        </w:rPr>
      </w:pPr>
      <w:r w:rsidRPr="00002CA3">
        <w:rPr>
          <w:rFonts w:ascii="Times New Roman" w:eastAsia="Times New Roman" w:hAnsi="Times New Roman" w:cs="Times New Roman"/>
          <w:b/>
          <w:i/>
          <w:iCs/>
          <w:sz w:val="24"/>
          <w:szCs w:val="24"/>
        </w:rPr>
        <w:t>5.2 Blue hydrogen and CCU in natural gas power and processing</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xml:space="preserve">In addition to green hydrogen, Saudi Arabia has abundant natural gas resources and is exploring blue hydrogen and blue ammonia (hydrogen from gas combined with CCUS) (Saudi </w:t>
      </w:r>
      <w:proofErr w:type="spellStart"/>
      <w:r w:rsidRPr="00113467">
        <w:rPr>
          <w:rFonts w:ascii="Times New Roman" w:eastAsia="Times New Roman" w:hAnsi="Times New Roman" w:cs="Times New Roman"/>
          <w:sz w:val="24"/>
          <w:szCs w:val="24"/>
        </w:rPr>
        <w:t>Aramco</w:t>
      </w:r>
      <w:proofErr w:type="spellEnd"/>
      <w:r w:rsidRPr="00113467">
        <w:rPr>
          <w:rFonts w:ascii="Times New Roman" w:eastAsia="Times New Roman" w:hAnsi="Times New Roman" w:cs="Times New Roman"/>
          <w:sz w:val="24"/>
          <w:szCs w:val="24"/>
        </w:rPr>
        <w:t>, 2023). In the IEA net-zero scenarios, a significant portion of global hydrogen demand is met by such low-carbon hydrogen with CCUS, especially in gas-rich countries (IEA, 2023a).</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For Saudi Arabia, blue hydrogen is attractive because:</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Existing gas infrastructure and expertise can be leveraged.</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xml:space="preserve">• CO₂ captured from gas processing plants (like </w:t>
      </w:r>
      <w:proofErr w:type="spellStart"/>
      <w:r w:rsidRPr="00113467">
        <w:rPr>
          <w:rFonts w:ascii="Times New Roman" w:eastAsia="Times New Roman" w:hAnsi="Times New Roman" w:cs="Times New Roman"/>
          <w:sz w:val="24"/>
          <w:szCs w:val="24"/>
        </w:rPr>
        <w:t>Hawiyah</w:t>
      </w:r>
      <w:proofErr w:type="spellEnd"/>
      <w:r w:rsidRPr="00113467">
        <w:rPr>
          <w:rFonts w:ascii="Times New Roman" w:eastAsia="Times New Roman" w:hAnsi="Times New Roman" w:cs="Times New Roman"/>
          <w:sz w:val="24"/>
          <w:szCs w:val="24"/>
        </w:rPr>
        <w:t xml:space="preserve">) and associated power plants can be integrated into a clustered CCUS value chain (Saudi </w:t>
      </w:r>
      <w:proofErr w:type="spellStart"/>
      <w:r w:rsidRPr="00113467">
        <w:rPr>
          <w:rFonts w:ascii="Times New Roman" w:eastAsia="Times New Roman" w:hAnsi="Times New Roman" w:cs="Times New Roman"/>
          <w:sz w:val="24"/>
          <w:szCs w:val="24"/>
        </w:rPr>
        <w:t>Aramco</w:t>
      </w:r>
      <w:proofErr w:type="spellEnd"/>
      <w:r w:rsidRPr="00113467">
        <w:rPr>
          <w:rFonts w:ascii="Times New Roman" w:eastAsia="Times New Roman" w:hAnsi="Times New Roman" w:cs="Times New Roman"/>
          <w:sz w:val="24"/>
          <w:szCs w:val="24"/>
        </w:rPr>
        <w:t>, 2023; 2024).</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Blue hydrogen outputs can be blended with green hydrogen to meet stringent emissions-intensity thresholds at lower cost than pure green hydrogen in the early years (IEA, 2023a).</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xml:space="preserve">CCU in power plants is thus not only about </w:t>
      </w:r>
      <w:proofErr w:type="spellStart"/>
      <w:r w:rsidRPr="00113467">
        <w:rPr>
          <w:rFonts w:ascii="Times New Roman" w:eastAsia="Times New Roman" w:hAnsi="Times New Roman" w:cs="Times New Roman"/>
          <w:sz w:val="24"/>
          <w:szCs w:val="24"/>
        </w:rPr>
        <w:t>decarbonizing</w:t>
      </w:r>
      <w:proofErr w:type="spellEnd"/>
      <w:r w:rsidRPr="00113467">
        <w:rPr>
          <w:rFonts w:ascii="Times New Roman" w:eastAsia="Times New Roman" w:hAnsi="Times New Roman" w:cs="Times New Roman"/>
          <w:sz w:val="24"/>
          <w:szCs w:val="24"/>
        </w:rPr>
        <w:t xml:space="preserve"> the grid, but also about providing low-cost CO₂ streams for integrated hydrogen and CCU systems in hydrogen export clusters.</w:t>
      </w:r>
      <w:r w:rsidR="00E618FF">
        <w:rPr>
          <w:rFonts w:ascii="Times New Roman" w:eastAsia="Times New Roman" w:hAnsi="Times New Roman" w:cs="Times New Roman"/>
          <w:sz w:val="24"/>
          <w:szCs w:val="24"/>
        </w:rPr>
        <w:br/>
      </w:r>
    </w:p>
    <w:p w:rsidR="00113467" w:rsidRPr="00002CA3" w:rsidRDefault="00113467" w:rsidP="00113467">
      <w:pPr>
        <w:spacing w:after="120"/>
        <w:jc w:val="both"/>
        <w:rPr>
          <w:rFonts w:ascii="Times New Roman" w:eastAsia="Times New Roman" w:hAnsi="Times New Roman" w:cs="Times New Roman"/>
          <w:b/>
          <w:sz w:val="24"/>
          <w:szCs w:val="24"/>
        </w:rPr>
      </w:pPr>
      <w:r w:rsidRPr="00002CA3">
        <w:rPr>
          <w:rFonts w:ascii="Times New Roman" w:eastAsia="Times New Roman" w:hAnsi="Times New Roman" w:cs="Times New Roman"/>
          <w:b/>
          <w:sz w:val="24"/>
          <w:szCs w:val="24"/>
        </w:rPr>
        <w:t>5.3 CCE positioning and international perception</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Saudi Arabia’s promotion of the CCE framework has been recognized by G20 ministers as a holistic approach to managing emissions (G20 Energy Ministers, 2020). Yet, international stakeholders—especially in Europe—are increasingly attentive to (European Union, 2023):</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Lifecycle emissions accounting (well-to-tank and well-to-wheel);</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lastRenderedPageBreak/>
        <w:t>• Certification schemes for low-carbon hydrogen and ammonia;</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Concerns that CCUS may serve as a “license to continue fossil fuels” if not rigorously monitored.</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This creates both a challenge and an opportunity. If the Saudi CCU in power plants can be:</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Efficient (high capture rates, low energy penalty),</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Transparent (robust MRV—monitoring, reporting, verification) (ISO, 2023),</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Integrated with genuine long-term storage or circular utilization,</w:t>
      </w:r>
    </w:p>
    <w:p w:rsidR="00113467" w:rsidRPr="00113467" w:rsidRDefault="00113467" w:rsidP="00113467">
      <w:pPr>
        <w:spacing w:after="120"/>
        <w:jc w:val="both"/>
        <w:rPr>
          <w:rFonts w:ascii="Times New Roman" w:eastAsia="Times New Roman" w:hAnsi="Times New Roman" w:cs="Times New Roman"/>
          <w:sz w:val="24"/>
          <w:szCs w:val="24"/>
        </w:rPr>
      </w:pPr>
      <w:proofErr w:type="gramStart"/>
      <w:r w:rsidRPr="00113467">
        <w:rPr>
          <w:rFonts w:ascii="Times New Roman" w:eastAsia="Times New Roman" w:hAnsi="Times New Roman" w:cs="Times New Roman"/>
          <w:sz w:val="24"/>
          <w:szCs w:val="24"/>
        </w:rPr>
        <w:t>then</w:t>
      </w:r>
      <w:proofErr w:type="gramEnd"/>
      <w:r w:rsidRPr="00113467">
        <w:rPr>
          <w:rFonts w:ascii="Times New Roman" w:eastAsia="Times New Roman" w:hAnsi="Times New Roman" w:cs="Times New Roman"/>
          <w:sz w:val="24"/>
          <w:szCs w:val="24"/>
        </w:rPr>
        <w:t xml:space="preserve"> it can strengthen the legitimacy of Saudi hydrogen exports and the CCE model (Ministry of Energy, Saudi Arabia, 2020). Conversely, poorly performing or opaque CCUS projects risk undermining trust in the Kingdom’s climate narrative (IEEFA, 2022).</w:t>
      </w:r>
    </w:p>
    <w:p w:rsidR="00113467" w:rsidRPr="00113467" w:rsidRDefault="00113467" w:rsidP="00113467">
      <w:pPr>
        <w:numPr>
          <w:ilvl w:val="0"/>
          <w:numId w:val="6"/>
        </w:numPr>
        <w:spacing w:before="120"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Strategies to Lower Costs and Improve Efficiency of CCU in Saudi Power Plants</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This section summarizes recent findings and outlines technical and systemic strategies for Saudi Arabia.</w:t>
      </w:r>
    </w:p>
    <w:p w:rsidR="00113467" w:rsidRPr="00002CA3" w:rsidRDefault="00113467" w:rsidP="00113467">
      <w:pPr>
        <w:spacing w:after="120"/>
        <w:jc w:val="both"/>
        <w:rPr>
          <w:rFonts w:ascii="Times New Roman" w:eastAsia="Times New Roman" w:hAnsi="Times New Roman" w:cs="Times New Roman"/>
          <w:b/>
          <w:sz w:val="24"/>
          <w:szCs w:val="24"/>
        </w:rPr>
      </w:pPr>
      <w:r w:rsidRPr="00002CA3">
        <w:rPr>
          <w:rFonts w:ascii="Times New Roman" w:eastAsia="Times New Roman" w:hAnsi="Times New Roman" w:cs="Times New Roman"/>
          <w:b/>
          <w:sz w:val="24"/>
          <w:szCs w:val="24"/>
        </w:rPr>
        <w:t>6.1 Capture technology optimization and process integration</w:t>
      </w:r>
    </w:p>
    <w:p w:rsidR="00113467" w:rsidRPr="00113467" w:rsidRDefault="00113467" w:rsidP="00113467">
      <w:pPr>
        <w:numPr>
          <w:ilvl w:val="0"/>
          <w:numId w:val="7"/>
        </w:numPr>
        <w:spacing w:before="120"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Advanced solvents and process intensification</w:t>
      </w:r>
    </w:p>
    <w:p w:rsidR="00113467" w:rsidRPr="00002CA3" w:rsidRDefault="00113467" w:rsidP="00002CA3">
      <w:pPr>
        <w:pStyle w:val="ListParagraph"/>
        <w:numPr>
          <w:ilvl w:val="0"/>
          <w:numId w:val="28"/>
        </w:numPr>
        <w:spacing w:after="120"/>
        <w:jc w:val="both"/>
        <w:rPr>
          <w:rFonts w:ascii="Times New Roman" w:eastAsia="Times New Roman" w:hAnsi="Times New Roman" w:cs="Times New Roman"/>
          <w:sz w:val="24"/>
          <w:szCs w:val="24"/>
        </w:rPr>
      </w:pPr>
      <w:r w:rsidRPr="00002CA3">
        <w:rPr>
          <w:rFonts w:ascii="Times New Roman" w:eastAsia="Times New Roman" w:hAnsi="Times New Roman" w:cs="Times New Roman"/>
          <w:sz w:val="24"/>
          <w:szCs w:val="24"/>
        </w:rPr>
        <w:t xml:space="preserve">Deploy next-generation solvents (e.g., </w:t>
      </w:r>
      <w:proofErr w:type="spellStart"/>
      <w:r w:rsidRPr="00002CA3">
        <w:rPr>
          <w:rFonts w:ascii="Times New Roman" w:eastAsia="Times New Roman" w:hAnsi="Times New Roman" w:cs="Times New Roman"/>
          <w:sz w:val="24"/>
          <w:szCs w:val="24"/>
        </w:rPr>
        <w:t>sterically</w:t>
      </w:r>
      <w:proofErr w:type="spellEnd"/>
      <w:r w:rsidRPr="00002CA3">
        <w:rPr>
          <w:rFonts w:ascii="Times New Roman" w:eastAsia="Times New Roman" w:hAnsi="Times New Roman" w:cs="Times New Roman"/>
          <w:sz w:val="24"/>
          <w:szCs w:val="24"/>
        </w:rPr>
        <w:t xml:space="preserve"> hindered amines, biphasic systems) that reduce regeneration energy and solvent degradation (Li et al., 2023; Wang et al., 2024).</w:t>
      </w:r>
    </w:p>
    <w:p w:rsidR="00113467" w:rsidRPr="00002CA3" w:rsidRDefault="00113467" w:rsidP="00002CA3">
      <w:pPr>
        <w:pStyle w:val="ListParagraph"/>
        <w:numPr>
          <w:ilvl w:val="0"/>
          <w:numId w:val="28"/>
        </w:numPr>
        <w:spacing w:after="120"/>
        <w:jc w:val="both"/>
        <w:rPr>
          <w:rFonts w:ascii="Times New Roman" w:eastAsia="Times New Roman" w:hAnsi="Times New Roman" w:cs="Times New Roman"/>
          <w:sz w:val="24"/>
          <w:szCs w:val="24"/>
        </w:rPr>
      </w:pPr>
      <w:r w:rsidRPr="00002CA3">
        <w:rPr>
          <w:rFonts w:ascii="Times New Roman" w:eastAsia="Times New Roman" w:hAnsi="Times New Roman" w:cs="Times New Roman"/>
          <w:sz w:val="24"/>
          <w:szCs w:val="24"/>
        </w:rPr>
        <w:t>Explore process intensification such as rotating packed beds or modular capture units for flexible, lower-footprint retrofits (Rubin et al., 2023).</w:t>
      </w:r>
    </w:p>
    <w:p w:rsidR="00113467" w:rsidRPr="00113467" w:rsidRDefault="00113467" w:rsidP="00113467">
      <w:pPr>
        <w:numPr>
          <w:ilvl w:val="0"/>
          <w:numId w:val="8"/>
        </w:numPr>
        <w:spacing w:before="120"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Heat integration with power and desalination</w:t>
      </w:r>
    </w:p>
    <w:p w:rsidR="00113467" w:rsidRPr="00002CA3" w:rsidRDefault="00113467" w:rsidP="00002CA3">
      <w:pPr>
        <w:pStyle w:val="ListParagraph"/>
        <w:numPr>
          <w:ilvl w:val="0"/>
          <w:numId w:val="26"/>
        </w:numPr>
        <w:spacing w:after="120"/>
        <w:jc w:val="both"/>
        <w:rPr>
          <w:rFonts w:ascii="Times New Roman" w:eastAsia="Times New Roman" w:hAnsi="Times New Roman" w:cs="Times New Roman"/>
          <w:sz w:val="24"/>
          <w:szCs w:val="24"/>
        </w:rPr>
      </w:pPr>
      <w:r w:rsidRPr="00002CA3">
        <w:rPr>
          <w:rFonts w:ascii="Times New Roman" w:eastAsia="Times New Roman" w:hAnsi="Times New Roman" w:cs="Times New Roman"/>
          <w:sz w:val="24"/>
          <w:szCs w:val="24"/>
        </w:rPr>
        <w:t>Many Saudi power plants are cogeneration facilities producing both electricity and desalinated water. Integrating CCU with existing low-grade heat sources and optimizing steam extraction can reduce energy penalties (IEA, 2021).</w:t>
      </w:r>
    </w:p>
    <w:p w:rsidR="00113467" w:rsidRPr="00113467" w:rsidRDefault="00113467" w:rsidP="00113467">
      <w:pPr>
        <w:numPr>
          <w:ilvl w:val="0"/>
          <w:numId w:val="9"/>
        </w:numPr>
        <w:spacing w:before="120"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Hybrid capture cycles</w:t>
      </w:r>
    </w:p>
    <w:p w:rsidR="00113467" w:rsidRPr="00002CA3" w:rsidRDefault="00113467" w:rsidP="00002CA3">
      <w:pPr>
        <w:pStyle w:val="ListParagraph"/>
        <w:numPr>
          <w:ilvl w:val="0"/>
          <w:numId w:val="24"/>
        </w:numPr>
        <w:spacing w:after="120"/>
        <w:jc w:val="both"/>
        <w:rPr>
          <w:rFonts w:ascii="Times New Roman" w:eastAsia="Times New Roman" w:hAnsi="Times New Roman" w:cs="Times New Roman"/>
          <w:sz w:val="24"/>
          <w:szCs w:val="24"/>
        </w:rPr>
      </w:pPr>
      <w:r w:rsidRPr="00002CA3">
        <w:rPr>
          <w:rFonts w:ascii="Times New Roman" w:eastAsia="Times New Roman" w:hAnsi="Times New Roman" w:cs="Times New Roman"/>
          <w:sz w:val="24"/>
          <w:szCs w:val="24"/>
        </w:rPr>
        <w:t xml:space="preserve">Combining post-combustion capture with oxygen-enriched combustion, partial </w:t>
      </w:r>
      <w:proofErr w:type="spellStart"/>
      <w:r w:rsidRPr="00002CA3">
        <w:rPr>
          <w:rFonts w:ascii="Times New Roman" w:eastAsia="Times New Roman" w:hAnsi="Times New Roman" w:cs="Times New Roman"/>
          <w:sz w:val="24"/>
          <w:szCs w:val="24"/>
        </w:rPr>
        <w:t>oxyfuel</w:t>
      </w:r>
      <w:proofErr w:type="spellEnd"/>
      <w:r w:rsidRPr="00002CA3">
        <w:rPr>
          <w:rFonts w:ascii="Times New Roman" w:eastAsia="Times New Roman" w:hAnsi="Times New Roman" w:cs="Times New Roman"/>
          <w:sz w:val="24"/>
          <w:szCs w:val="24"/>
        </w:rPr>
        <w:t>, or CLC can reduce solvent load and overall energy penalty, as shown in studies where hybrid CLC cuts avoidance cost significantly (Zhao et al., 2023).</w:t>
      </w:r>
    </w:p>
    <w:p w:rsidR="00113467" w:rsidRPr="00113467" w:rsidRDefault="00113467" w:rsidP="00113467">
      <w:pPr>
        <w:numPr>
          <w:ilvl w:val="0"/>
          <w:numId w:val="10"/>
        </w:numPr>
        <w:spacing w:before="120"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High capture rates at lower incremental cost</w:t>
      </w:r>
    </w:p>
    <w:p w:rsidR="00113467" w:rsidRPr="00002CA3" w:rsidRDefault="00113467" w:rsidP="00002CA3">
      <w:pPr>
        <w:pStyle w:val="ListParagraph"/>
        <w:numPr>
          <w:ilvl w:val="0"/>
          <w:numId w:val="22"/>
        </w:numPr>
        <w:spacing w:after="120"/>
        <w:jc w:val="both"/>
        <w:rPr>
          <w:rFonts w:ascii="Times New Roman" w:eastAsia="Times New Roman" w:hAnsi="Times New Roman" w:cs="Times New Roman"/>
          <w:sz w:val="24"/>
          <w:szCs w:val="24"/>
        </w:rPr>
      </w:pPr>
      <w:r w:rsidRPr="00002CA3">
        <w:rPr>
          <w:rFonts w:ascii="Times New Roman" w:eastAsia="Times New Roman" w:hAnsi="Times New Roman" w:cs="Times New Roman"/>
          <w:sz w:val="24"/>
          <w:szCs w:val="24"/>
        </w:rPr>
        <w:t>The IEA notes that increasing capture rates from 90% to 98–99% may only marginally increase costs if systems are properly designed (IEA, 2021).</w:t>
      </w:r>
    </w:p>
    <w:p w:rsidR="00113467" w:rsidRPr="00002CA3" w:rsidRDefault="00113467" w:rsidP="00002CA3">
      <w:pPr>
        <w:pStyle w:val="ListParagraph"/>
        <w:numPr>
          <w:ilvl w:val="0"/>
          <w:numId w:val="22"/>
        </w:numPr>
        <w:spacing w:after="120"/>
        <w:jc w:val="both"/>
        <w:rPr>
          <w:rFonts w:ascii="Times New Roman" w:eastAsia="Times New Roman" w:hAnsi="Times New Roman" w:cs="Times New Roman"/>
          <w:sz w:val="24"/>
          <w:szCs w:val="24"/>
        </w:rPr>
      </w:pPr>
      <w:r w:rsidRPr="00002CA3">
        <w:rPr>
          <w:rFonts w:ascii="Times New Roman" w:eastAsia="Times New Roman" w:hAnsi="Times New Roman" w:cs="Times New Roman"/>
          <w:sz w:val="24"/>
          <w:szCs w:val="24"/>
        </w:rPr>
        <w:t>Achieving such high capture rates is crucial for meeting stringent hydrogen certification thresholds in export markets (European Union, 2023).</w:t>
      </w:r>
    </w:p>
    <w:p w:rsidR="00113467" w:rsidRPr="00002CA3" w:rsidRDefault="00113467" w:rsidP="00113467">
      <w:pPr>
        <w:spacing w:after="120"/>
        <w:jc w:val="both"/>
        <w:rPr>
          <w:rFonts w:ascii="Times New Roman" w:eastAsia="Times New Roman" w:hAnsi="Times New Roman" w:cs="Times New Roman"/>
          <w:b/>
          <w:sz w:val="24"/>
          <w:szCs w:val="24"/>
        </w:rPr>
      </w:pPr>
      <w:r w:rsidRPr="00002CA3">
        <w:rPr>
          <w:rFonts w:ascii="Times New Roman" w:eastAsia="Times New Roman" w:hAnsi="Times New Roman" w:cs="Times New Roman"/>
          <w:b/>
          <w:sz w:val="24"/>
          <w:szCs w:val="24"/>
        </w:rPr>
        <w:t>6.2 Economies of scale via CCUS hubs</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lastRenderedPageBreak/>
        <w:t xml:space="preserve">Building shared CCUS hubs can dramatically lower unit costs (Saudi </w:t>
      </w:r>
      <w:proofErr w:type="spellStart"/>
      <w:r w:rsidRPr="00113467">
        <w:rPr>
          <w:rFonts w:ascii="Times New Roman" w:eastAsia="Times New Roman" w:hAnsi="Times New Roman" w:cs="Times New Roman"/>
          <w:sz w:val="24"/>
          <w:szCs w:val="24"/>
        </w:rPr>
        <w:t>Aramco</w:t>
      </w:r>
      <w:proofErr w:type="spellEnd"/>
      <w:r w:rsidRPr="00113467">
        <w:rPr>
          <w:rFonts w:ascii="Times New Roman" w:eastAsia="Times New Roman" w:hAnsi="Times New Roman" w:cs="Times New Roman"/>
          <w:sz w:val="24"/>
          <w:szCs w:val="24"/>
        </w:rPr>
        <w:t>, 2024):</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xml:space="preserve">• Saudi </w:t>
      </w:r>
      <w:proofErr w:type="spellStart"/>
      <w:r w:rsidRPr="00113467">
        <w:rPr>
          <w:rFonts w:ascii="Times New Roman" w:eastAsia="Times New Roman" w:hAnsi="Times New Roman" w:cs="Times New Roman"/>
          <w:sz w:val="24"/>
          <w:szCs w:val="24"/>
        </w:rPr>
        <w:t>Aramco’s</w:t>
      </w:r>
      <w:proofErr w:type="spellEnd"/>
      <w:r w:rsidRPr="00113467">
        <w:rPr>
          <w:rFonts w:ascii="Times New Roman" w:eastAsia="Times New Roman" w:hAnsi="Times New Roman" w:cs="Times New Roman"/>
          <w:sz w:val="24"/>
          <w:szCs w:val="24"/>
        </w:rPr>
        <w:t xml:space="preserve"> </w:t>
      </w:r>
      <w:proofErr w:type="spellStart"/>
      <w:r w:rsidRPr="00113467">
        <w:rPr>
          <w:rFonts w:ascii="Times New Roman" w:eastAsia="Times New Roman" w:hAnsi="Times New Roman" w:cs="Times New Roman"/>
          <w:sz w:val="24"/>
          <w:szCs w:val="24"/>
        </w:rPr>
        <w:t>Jubail</w:t>
      </w:r>
      <w:proofErr w:type="spellEnd"/>
      <w:r w:rsidRPr="00113467">
        <w:rPr>
          <w:rFonts w:ascii="Times New Roman" w:eastAsia="Times New Roman" w:hAnsi="Times New Roman" w:cs="Times New Roman"/>
          <w:sz w:val="24"/>
          <w:szCs w:val="24"/>
        </w:rPr>
        <w:t xml:space="preserve"> CCUS hub aims to capture up to 9 </w:t>
      </w:r>
      <w:proofErr w:type="spellStart"/>
      <w:r w:rsidRPr="00113467">
        <w:rPr>
          <w:rFonts w:ascii="Times New Roman" w:eastAsia="Times New Roman" w:hAnsi="Times New Roman" w:cs="Times New Roman"/>
          <w:sz w:val="24"/>
          <w:szCs w:val="24"/>
        </w:rPr>
        <w:t>MtCO</w:t>
      </w:r>
      <w:proofErr w:type="spellEnd"/>
      <w:r w:rsidRPr="00113467">
        <w:rPr>
          <w:rFonts w:ascii="Times New Roman" w:eastAsia="Times New Roman" w:hAnsi="Times New Roman" w:cs="Times New Roman"/>
          <w:sz w:val="24"/>
          <w:szCs w:val="24"/>
        </w:rPr>
        <w:t>₂ per year by aggregating emissions from multiple plants and using shared pipelines and storage sites.</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xml:space="preserve">• Similar hub concepts can be replicated in NEOM, </w:t>
      </w:r>
      <w:proofErr w:type="spellStart"/>
      <w:r w:rsidRPr="00113467">
        <w:rPr>
          <w:rFonts w:ascii="Times New Roman" w:eastAsia="Times New Roman" w:hAnsi="Times New Roman" w:cs="Times New Roman"/>
          <w:sz w:val="24"/>
          <w:szCs w:val="24"/>
        </w:rPr>
        <w:t>Yanbu</w:t>
      </w:r>
      <w:proofErr w:type="spellEnd"/>
      <w:r w:rsidRPr="00113467">
        <w:rPr>
          <w:rFonts w:ascii="Times New Roman" w:eastAsia="Times New Roman" w:hAnsi="Times New Roman" w:cs="Times New Roman"/>
          <w:sz w:val="24"/>
          <w:szCs w:val="24"/>
        </w:rPr>
        <w:t>, and other industrial clusters, linking gas power plants, hydrogen production, and petrochemical facilities (ACWA Power, 2024).</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Research on optimal hub design—including cluster topology, pipeline routing, storage site selection, and risk-sharing mechanisms—can identify configurations that minimize capital and operating costs (Global CCS Institute, 2024).</w:t>
      </w:r>
    </w:p>
    <w:p w:rsidR="00113467" w:rsidRPr="00002CA3" w:rsidRDefault="00113467" w:rsidP="00113467">
      <w:pPr>
        <w:spacing w:after="120"/>
        <w:jc w:val="both"/>
        <w:rPr>
          <w:rFonts w:ascii="Times New Roman" w:eastAsia="Times New Roman" w:hAnsi="Times New Roman" w:cs="Times New Roman"/>
          <w:b/>
          <w:sz w:val="24"/>
          <w:szCs w:val="24"/>
        </w:rPr>
      </w:pPr>
      <w:r w:rsidRPr="00002CA3">
        <w:rPr>
          <w:rFonts w:ascii="Times New Roman" w:eastAsia="Times New Roman" w:hAnsi="Times New Roman" w:cs="Times New Roman"/>
          <w:b/>
          <w:sz w:val="24"/>
          <w:szCs w:val="24"/>
        </w:rPr>
        <w:t>6.3 Integration with hydrogen and ammonia value chains</w:t>
      </w:r>
    </w:p>
    <w:p w:rsidR="00113467" w:rsidRPr="00113467" w:rsidRDefault="00113467" w:rsidP="00113467">
      <w:pPr>
        <w:numPr>
          <w:ilvl w:val="0"/>
          <w:numId w:val="11"/>
        </w:numPr>
        <w:spacing w:before="120"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Co-optimizing power and hydrogen systems</w:t>
      </w:r>
    </w:p>
    <w:p w:rsidR="00113467" w:rsidRPr="00002CA3" w:rsidRDefault="00113467" w:rsidP="00002CA3">
      <w:pPr>
        <w:pStyle w:val="ListParagraph"/>
        <w:numPr>
          <w:ilvl w:val="0"/>
          <w:numId w:val="22"/>
        </w:numPr>
        <w:spacing w:after="120"/>
        <w:jc w:val="both"/>
        <w:rPr>
          <w:rFonts w:ascii="Times New Roman" w:eastAsia="Times New Roman" w:hAnsi="Times New Roman" w:cs="Times New Roman"/>
          <w:sz w:val="24"/>
          <w:szCs w:val="24"/>
        </w:rPr>
      </w:pPr>
      <w:r w:rsidRPr="00002CA3">
        <w:rPr>
          <w:rFonts w:ascii="Times New Roman" w:eastAsia="Times New Roman" w:hAnsi="Times New Roman" w:cs="Times New Roman"/>
          <w:sz w:val="24"/>
          <w:szCs w:val="24"/>
        </w:rPr>
        <w:t xml:space="preserve">In hydrogen clusters, CO₂ capture can be applied not only to power plants but also to steam methane reformers (SMR), </w:t>
      </w:r>
      <w:proofErr w:type="spellStart"/>
      <w:r w:rsidRPr="00002CA3">
        <w:rPr>
          <w:rFonts w:ascii="Times New Roman" w:eastAsia="Times New Roman" w:hAnsi="Times New Roman" w:cs="Times New Roman"/>
          <w:sz w:val="24"/>
          <w:szCs w:val="24"/>
        </w:rPr>
        <w:t>autothermal</w:t>
      </w:r>
      <w:proofErr w:type="spellEnd"/>
      <w:r w:rsidRPr="00002CA3">
        <w:rPr>
          <w:rFonts w:ascii="Times New Roman" w:eastAsia="Times New Roman" w:hAnsi="Times New Roman" w:cs="Times New Roman"/>
          <w:sz w:val="24"/>
          <w:szCs w:val="24"/>
        </w:rPr>
        <w:t xml:space="preserve"> reformers (ATR), and associated utility boilers (IEA, 2023a).</w:t>
      </w:r>
    </w:p>
    <w:p w:rsidR="00113467" w:rsidRPr="00002CA3" w:rsidRDefault="00113467" w:rsidP="00002CA3">
      <w:pPr>
        <w:pStyle w:val="ListParagraph"/>
        <w:numPr>
          <w:ilvl w:val="0"/>
          <w:numId w:val="22"/>
        </w:numPr>
        <w:spacing w:after="120"/>
        <w:jc w:val="both"/>
        <w:rPr>
          <w:rFonts w:ascii="Times New Roman" w:eastAsia="Times New Roman" w:hAnsi="Times New Roman" w:cs="Times New Roman"/>
          <w:sz w:val="24"/>
          <w:szCs w:val="24"/>
        </w:rPr>
      </w:pPr>
      <w:r w:rsidRPr="00002CA3">
        <w:rPr>
          <w:rFonts w:ascii="Times New Roman" w:eastAsia="Times New Roman" w:hAnsi="Times New Roman" w:cs="Times New Roman"/>
          <w:sz w:val="24"/>
          <w:szCs w:val="24"/>
        </w:rPr>
        <w:t>Integrated optimization models can determine where capture yields the highest emissions reduction per dollar, considering both power and hydrogen streams (IRENA, 2023).</w:t>
      </w:r>
    </w:p>
    <w:p w:rsidR="00113467" w:rsidRPr="00113467" w:rsidRDefault="00113467" w:rsidP="00113467">
      <w:pPr>
        <w:numPr>
          <w:ilvl w:val="0"/>
          <w:numId w:val="12"/>
        </w:numPr>
        <w:spacing w:before="120"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Leveraging ammonia for CO₂ transport and storage</w:t>
      </w:r>
    </w:p>
    <w:p w:rsidR="00113467" w:rsidRPr="00002CA3" w:rsidRDefault="00113467" w:rsidP="00002CA3">
      <w:pPr>
        <w:pStyle w:val="ListParagraph"/>
        <w:numPr>
          <w:ilvl w:val="0"/>
          <w:numId w:val="22"/>
        </w:numPr>
        <w:spacing w:after="120"/>
        <w:jc w:val="both"/>
        <w:rPr>
          <w:rFonts w:ascii="Times New Roman" w:eastAsia="Times New Roman" w:hAnsi="Times New Roman" w:cs="Times New Roman"/>
          <w:sz w:val="24"/>
          <w:szCs w:val="24"/>
        </w:rPr>
      </w:pPr>
      <w:r w:rsidRPr="00002CA3">
        <w:rPr>
          <w:rFonts w:ascii="Times New Roman" w:eastAsia="Times New Roman" w:hAnsi="Times New Roman" w:cs="Times New Roman"/>
          <w:sz w:val="24"/>
          <w:szCs w:val="24"/>
        </w:rPr>
        <w:t>Green and blue ammonia exports can be co-located with CO₂ terminals, enabling importers to send back CO₂ for storage or utilization in a circular manner (a future research idea) [Citation needed].</w:t>
      </w:r>
    </w:p>
    <w:p w:rsidR="00113467" w:rsidRPr="00113467" w:rsidRDefault="00113467" w:rsidP="00113467">
      <w:pPr>
        <w:numPr>
          <w:ilvl w:val="0"/>
          <w:numId w:val="13"/>
        </w:numPr>
        <w:spacing w:before="120"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Alignment with international hydrogen standards</w:t>
      </w:r>
    </w:p>
    <w:p w:rsidR="00113467" w:rsidRPr="00002CA3" w:rsidRDefault="00113467" w:rsidP="00002CA3">
      <w:pPr>
        <w:pStyle w:val="ListParagraph"/>
        <w:numPr>
          <w:ilvl w:val="0"/>
          <w:numId w:val="22"/>
        </w:numPr>
        <w:spacing w:after="120"/>
        <w:jc w:val="both"/>
        <w:rPr>
          <w:rFonts w:ascii="Times New Roman" w:eastAsia="Times New Roman" w:hAnsi="Times New Roman" w:cs="Times New Roman"/>
          <w:sz w:val="24"/>
          <w:szCs w:val="24"/>
        </w:rPr>
      </w:pPr>
      <w:r w:rsidRPr="00002CA3">
        <w:rPr>
          <w:rFonts w:ascii="Times New Roman" w:eastAsia="Times New Roman" w:hAnsi="Times New Roman" w:cs="Times New Roman"/>
          <w:sz w:val="24"/>
          <w:szCs w:val="24"/>
        </w:rPr>
        <w:t>Research should map CCU strategies against EU and other certification schemes for renewable and low-carbon hydrogen to ensure that Saudi exports remain compliant and competitive (European Union, 2023).</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6.4 Expanding CO₂ utilization markets</w:t>
      </w:r>
    </w:p>
    <w:p w:rsidR="00113467" w:rsidRPr="00113467" w:rsidRDefault="00113467" w:rsidP="00113467">
      <w:pPr>
        <w:numPr>
          <w:ilvl w:val="0"/>
          <w:numId w:val="14"/>
        </w:numPr>
        <w:spacing w:before="120"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CO₂ to chemicals and materials</w:t>
      </w:r>
    </w:p>
    <w:p w:rsidR="00113467" w:rsidRPr="00002CA3" w:rsidRDefault="00113467" w:rsidP="00002CA3">
      <w:pPr>
        <w:pStyle w:val="ListParagraph"/>
        <w:numPr>
          <w:ilvl w:val="0"/>
          <w:numId w:val="22"/>
        </w:numPr>
        <w:spacing w:after="120"/>
        <w:jc w:val="both"/>
        <w:rPr>
          <w:rFonts w:ascii="Times New Roman" w:eastAsia="Times New Roman" w:hAnsi="Times New Roman" w:cs="Times New Roman"/>
          <w:sz w:val="24"/>
          <w:szCs w:val="24"/>
        </w:rPr>
      </w:pPr>
      <w:r w:rsidRPr="00002CA3">
        <w:rPr>
          <w:rFonts w:ascii="Times New Roman" w:eastAsia="Times New Roman" w:hAnsi="Times New Roman" w:cs="Times New Roman"/>
          <w:sz w:val="24"/>
          <w:szCs w:val="24"/>
        </w:rPr>
        <w:t>Develop R&amp;D programs with Saudi industrial partners to convert CO₂ into urea, methanol, building materials, and polymer precursors, taking advantage of existing petrochemical expertise (IRENA, 2022; Carbon Cure, 2023).</w:t>
      </w:r>
    </w:p>
    <w:p w:rsidR="00113467" w:rsidRPr="00113467" w:rsidRDefault="00113467" w:rsidP="00113467">
      <w:pPr>
        <w:numPr>
          <w:ilvl w:val="0"/>
          <w:numId w:val="15"/>
        </w:numPr>
        <w:spacing w:before="120"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Synthetic fuels for aviation and shipping</w:t>
      </w:r>
    </w:p>
    <w:p w:rsidR="00113467" w:rsidRPr="00002CA3" w:rsidRDefault="00113467" w:rsidP="00002CA3">
      <w:pPr>
        <w:pStyle w:val="ListParagraph"/>
        <w:numPr>
          <w:ilvl w:val="0"/>
          <w:numId w:val="22"/>
        </w:numPr>
        <w:spacing w:after="120"/>
        <w:jc w:val="both"/>
        <w:rPr>
          <w:rFonts w:ascii="Times New Roman" w:eastAsia="Times New Roman" w:hAnsi="Times New Roman" w:cs="Times New Roman"/>
          <w:sz w:val="24"/>
          <w:szCs w:val="24"/>
        </w:rPr>
      </w:pPr>
      <w:r w:rsidRPr="00002CA3">
        <w:rPr>
          <w:rFonts w:ascii="Times New Roman" w:eastAsia="Times New Roman" w:hAnsi="Times New Roman" w:cs="Times New Roman"/>
          <w:sz w:val="24"/>
          <w:szCs w:val="24"/>
        </w:rPr>
        <w:t>Given Saudi Arabia’s logistics hubs and aviation corridors, producing power-to-liquids (</w:t>
      </w:r>
      <w:proofErr w:type="spellStart"/>
      <w:r w:rsidRPr="00002CA3">
        <w:rPr>
          <w:rFonts w:ascii="Times New Roman" w:eastAsia="Times New Roman" w:hAnsi="Times New Roman" w:cs="Times New Roman"/>
          <w:sz w:val="24"/>
          <w:szCs w:val="24"/>
        </w:rPr>
        <w:t>PtL</w:t>
      </w:r>
      <w:proofErr w:type="spellEnd"/>
      <w:r w:rsidRPr="00002CA3">
        <w:rPr>
          <w:rFonts w:ascii="Times New Roman" w:eastAsia="Times New Roman" w:hAnsi="Times New Roman" w:cs="Times New Roman"/>
          <w:sz w:val="24"/>
          <w:szCs w:val="24"/>
        </w:rPr>
        <w:t xml:space="preserve">) using hydrogen plus captured CO₂ can create premium export products aligned with global aviation </w:t>
      </w:r>
      <w:proofErr w:type="spellStart"/>
      <w:r w:rsidRPr="00002CA3">
        <w:rPr>
          <w:rFonts w:ascii="Times New Roman" w:eastAsia="Times New Roman" w:hAnsi="Times New Roman" w:cs="Times New Roman"/>
          <w:sz w:val="24"/>
          <w:szCs w:val="24"/>
        </w:rPr>
        <w:t>decarbonization</w:t>
      </w:r>
      <w:proofErr w:type="spellEnd"/>
      <w:r w:rsidRPr="00002CA3">
        <w:rPr>
          <w:rFonts w:ascii="Times New Roman" w:eastAsia="Times New Roman" w:hAnsi="Times New Roman" w:cs="Times New Roman"/>
          <w:sz w:val="24"/>
          <w:szCs w:val="24"/>
        </w:rPr>
        <w:t xml:space="preserve"> trajectories (IRENA, 2023).</w:t>
      </w:r>
    </w:p>
    <w:p w:rsidR="00113467" w:rsidRPr="00113467" w:rsidRDefault="00113467" w:rsidP="00113467">
      <w:pPr>
        <w:numPr>
          <w:ilvl w:val="0"/>
          <w:numId w:val="16"/>
        </w:numPr>
        <w:spacing w:before="120"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Local CC E ecosystems</w:t>
      </w:r>
    </w:p>
    <w:p w:rsidR="00113467" w:rsidRDefault="00113467" w:rsidP="00002CA3">
      <w:pPr>
        <w:pStyle w:val="ListParagraph"/>
        <w:numPr>
          <w:ilvl w:val="0"/>
          <w:numId w:val="22"/>
        </w:numPr>
        <w:spacing w:after="120"/>
        <w:jc w:val="both"/>
        <w:rPr>
          <w:rFonts w:ascii="Times New Roman" w:eastAsia="Times New Roman" w:hAnsi="Times New Roman" w:cs="Times New Roman"/>
          <w:sz w:val="24"/>
          <w:szCs w:val="24"/>
        </w:rPr>
      </w:pPr>
      <w:r w:rsidRPr="00002CA3">
        <w:rPr>
          <w:rFonts w:ascii="Times New Roman" w:eastAsia="Times New Roman" w:hAnsi="Times New Roman" w:cs="Times New Roman"/>
          <w:sz w:val="24"/>
          <w:szCs w:val="24"/>
        </w:rPr>
        <w:lastRenderedPageBreak/>
        <w:t xml:space="preserve">Evaluate how CCU in power plants can feed nearby industries in </w:t>
      </w:r>
      <w:proofErr w:type="spellStart"/>
      <w:r w:rsidRPr="00002CA3">
        <w:rPr>
          <w:rFonts w:ascii="Times New Roman" w:eastAsia="Times New Roman" w:hAnsi="Times New Roman" w:cs="Times New Roman"/>
          <w:sz w:val="24"/>
          <w:szCs w:val="24"/>
        </w:rPr>
        <w:t>Jubail</w:t>
      </w:r>
      <w:proofErr w:type="spellEnd"/>
      <w:r w:rsidRPr="00002CA3">
        <w:rPr>
          <w:rFonts w:ascii="Times New Roman" w:eastAsia="Times New Roman" w:hAnsi="Times New Roman" w:cs="Times New Roman"/>
          <w:sz w:val="24"/>
          <w:szCs w:val="24"/>
        </w:rPr>
        <w:t xml:space="preserve">, </w:t>
      </w:r>
      <w:proofErr w:type="spellStart"/>
      <w:r w:rsidRPr="00002CA3">
        <w:rPr>
          <w:rFonts w:ascii="Times New Roman" w:eastAsia="Times New Roman" w:hAnsi="Times New Roman" w:cs="Times New Roman"/>
          <w:sz w:val="24"/>
          <w:szCs w:val="24"/>
        </w:rPr>
        <w:t>Yanbu</w:t>
      </w:r>
      <w:proofErr w:type="spellEnd"/>
      <w:r w:rsidRPr="00002CA3">
        <w:rPr>
          <w:rFonts w:ascii="Times New Roman" w:eastAsia="Times New Roman" w:hAnsi="Times New Roman" w:cs="Times New Roman"/>
          <w:sz w:val="24"/>
          <w:szCs w:val="24"/>
        </w:rPr>
        <w:t xml:space="preserve">, and NEOM to maximize local value creation before export (Ministry of Energy, Saudi Arabia, 2020; Saudi </w:t>
      </w:r>
      <w:proofErr w:type="spellStart"/>
      <w:r w:rsidRPr="00002CA3">
        <w:rPr>
          <w:rFonts w:ascii="Times New Roman" w:eastAsia="Times New Roman" w:hAnsi="Times New Roman" w:cs="Times New Roman"/>
          <w:sz w:val="24"/>
          <w:szCs w:val="24"/>
        </w:rPr>
        <w:t>Aramco</w:t>
      </w:r>
      <w:proofErr w:type="spellEnd"/>
      <w:r w:rsidRPr="00002CA3">
        <w:rPr>
          <w:rFonts w:ascii="Times New Roman" w:eastAsia="Times New Roman" w:hAnsi="Times New Roman" w:cs="Times New Roman"/>
          <w:sz w:val="24"/>
          <w:szCs w:val="24"/>
        </w:rPr>
        <w:t>, 2024).</w:t>
      </w:r>
    </w:p>
    <w:p w:rsidR="00002CA3" w:rsidRPr="00002CA3" w:rsidRDefault="00002CA3" w:rsidP="00002CA3">
      <w:pPr>
        <w:pStyle w:val="ListParagraph"/>
        <w:spacing w:after="120"/>
        <w:jc w:val="both"/>
        <w:rPr>
          <w:rFonts w:ascii="Times New Roman" w:eastAsia="Times New Roman" w:hAnsi="Times New Roman" w:cs="Times New Roman"/>
          <w:sz w:val="24"/>
          <w:szCs w:val="24"/>
        </w:rPr>
      </w:pPr>
    </w:p>
    <w:p w:rsidR="00113467" w:rsidRPr="00002CA3" w:rsidRDefault="00113467" w:rsidP="00113467">
      <w:pPr>
        <w:spacing w:after="120"/>
        <w:jc w:val="both"/>
        <w:rPr>
          <w:rFonts w:ascii="Times New Roman" w:eastAsia="Times New Roman" w:hAnsi="Times New Roman" w:cs="Times New Roman"/>
          <w:b/>
          <w:sz w:val="24"/>
          <w:szCs w:val="24"/>
        </w:rPr>
      </w:pPr>
      <w:r w:rsidRPr="00002CA3">
        <w:rPr>
          <w:rFonts w:ascii="Times New Roman" w:eastAsia="Times New Roman" w:hAnsi="Times New Roman" w:cs="Times New Roman"/>
          <w:b/>
          <w:sz w:val="24"/>
          <w:szCs w:val="24"/>
        </w:rPr>
        <w:t>6.5 Policy, regulation, and finance</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Reducing CCU costs requires both technical solutions and policy and financial innovation:</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xml:space="preserve">• Investment incentives: Capital grants, tax breaks, or </w:t>
      </w:r>
      <w:proofErr w:type="spellStart"/>
      <w:r w:rsidRPr="00113467">
        <w:rPr>
          <w:rFonts w:ascii="Times New Roman" w:eastAsia="Times New Roman" w:hAnsi="Times New Roman" w:cs="Times New Roman"/>
          <w:sz w:val="24"/>
          <w:szCs w:val="24"/>
        </w:rPr>
        <w:t>offtake</w:t>
      </w:r>
      <w:proofErr w:type="spellEnd"/>
      <w:r w:rsidRPr="00113467">
        <w:rPr>
          <w:rFonts w:ascii="Times New Roman" w:eastAsia="Times New Roman" w:hAnsi="Times New Roman" w:cs="Times New Roman"/>
          <w:sz w:val="24"/>
          <w:szCs w:val="24"/>
        </w:rPr>
        <w:t xml:space="preserve"> guarantees (similar to green loan frameworks used in financing NGHC) can lower the cost of capital (ACWA Power, 2024).</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Carbon pricing or contracts for difference (</w:t>
      </w:r>
      <w:proofErr w:type="spellStart"/>
      <w:r w:rsidRPr="00113467">
        <w:rPr>
          <w:rFonts w:ascii="Times New Roman" w:eastAsia="Times New Roman" w:hAnsi="Times New Roman" w:cs="Times New Roman"/>
          <w:sz w:val="24"/>
          <w:szCs w:val="24"/>
        </w:rPr>
        <w:t>CfD</w:t>
      </w:r>
      <w:proofErr w:type="spellEnd"/>
      <w:r w:rsidRPr="00113467">
        <w:rPr>
          <w:rFonts w:ascii="Times New Roman" w:eastAsia="Times New Roman" w:hAnsi="Times New Roman" w:cs="Times New Roman"/>
          <w:sz w:val="24"/>
          <w:szCs w:val="24"/>
        </w:rPr>
        <w:t>) for avoided emissions can provide predictable revenue streams (World Bank, 2023).</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Clear regulatory frameworks for CO₂ transport and storage—including liability, pore space rights, and MRV—will reduce perceived risks and financing costs (ISO, 2023; Global CCS Institute, 2024).</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International cooperation: Agreements like those with Italy and European energy companies on hydrogen and CCS can anchor cross-border value chains, ensuring that CCU investments are aligned with future demand (European Commission, 2023).</w:t>
      </w:r>
    </w:p>
    <w:p w:rsidR="00113467" w:rsidRPr="00113467" w:rsidRDefault="00113467" w:rsidP="00113467">
      <w:pPr>
        <w:numPr>
          <w:ilvl w:val="0"/>
          <w:numId w:val="17"/>
        </w:numPr>
        <w:spacing w:before="120"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Proposed Research Agenda for Saudi Arabia</w:t>
      </w:r>
    </w:p>
    <w:p w:rsid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To position CCU in power plants as a key driver of hydrogen export ambitions and the Circular Carbon Economy (CCE), Saudi universities, R&amp;D centers, and industry partners should implement a coordinated research program across several themes.</w:t>
      </w:r>
    </w:p>
    <w:p w:rsidR="00002CA3" w:rsidRPr="00113467" w:rsidRDefault="00002CA3" w:rsidP="00113467">
      <w:pPr>
        <w:spacing w:after="120"/>
        <w:jc w:val="both"/>
        <w:rPr>
          <w:rFonts w:ascii="Times New Roman" w:eastAsia="Times New Roman" w:hAnsi="Times New Roman" w:cs="Times New Roman"/>
          <w:sz w:val="24"/>
          <w:szCs w:val="24"/>
        </w:rPr>
      </w:pPr>
    </w:p>
    <w:p w:rsidR="00113467" w:rsidRPr="00002CA3" w:rsidRDefault="00113467" w:rsidP="00113467">
      <w:pPr>
        <w:spacing w:after="120"/>
        <w:jc w:val="both"/>
        <w:rPr>
          <w:rFonts w:ascii="Times New Roman" w:eastAsia="Times New Roman" w:hAnsi="Times New Roman" w:cs="Times New Roman"/>
          <w:b/>
          <w:sz w:val="24"/>
          <w:szCs w:val="24"/>
        </w:rPr>
      </w:pPr>
      <w:r w:rsidRPr="00002CA3">
        <w:rPr>
          <w:rFonts w:ascii="Times New Roman" w:eastAsia="Times New Roman" w:hAnsi="Times New Roman" w:cs="Times New Roman"/>
          <w:b/>
          <w:sz w:val="24"/>
          <w:szCs w:val="24"/>
        </w:rPr>
        <w:t xml:space="preserve">7.1 Techno-economic </w:t>
      </w:r>
      <w:proofErr w:type="spellStart"/>
      <w:r w:rsidRPr="00002CA3">
        <w:rPr>
          <w:rFonts w:ascii="Times New Roman" w:eastAsia="Times New Roman" w:hAnsi="Times New Roman" w:cs="Times New Roman"/>
          <w:b/>
          <w:sz w:val="24"/>
          <w:szCs w:val="24"/>
        </w:rPr>
        <w:t>modelling</w:t>
      </w:r>
      <w:proofErr w:type="spellEnd"/>
      <w:r w:rsidRPr="00002CA3">
        <w:rPr>
          <w:rFonts w:ascii="Times New Roman" w:eastAsia="Times New Roman" w:hAnsi="Times New Roman" w:cs="Times New Roman"/>
          <w:b/>
          <w:sz w:val="24"/>
          <w:szCs w:val="24"/>
        </w:rPr>
        <w:t xml:space="preserve"> for Saudi-specific conditions</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Develop detailed techno-economic models of CCU retrofits on representative Saudi NGCC and oil-fired plants, incorporating (Rubin et al., 2023; IEA, 2021):</w:t>
      </w:r>
    </w:p>
    <w:p w:rsidR="00113467" w:rsidRPr="00002CA3" w:rsidRDefault="00113467" w:rsidP="00002CA3">
      <w:pPr>
        <w:pStyle w:val="ListParagraph"/>
        <w:numPr>
          <w:ilvl w:val="0"/>
          <w:numId w:val="22"/>
        </w:numPr>
        <w:spacing w:after="120"/>
        <w:jc w:val="both"/>
        <w:rPr>
          <w:rFonts w:ascii="Times New Roman" w:eastAsia="Times New Roman" w:hAnsi="Times New Roman" w:cs="Times New Roman"/>
          <w:sz w:val="24"/>
          <w:szCs w:val="24"/>
        </w:rPr>
      </w:pPr>
      <w:r w:rsidRPr="00002CA3">
        <w:rPr>
          <w:rFonts w:ascii="Times New Roman" w:eastAsia="Times New Roman" w:hAnsi="Times New Roman" w:cs="Times New Roman"/>
          <w:sz w:val="24"/>
          <w:szCs w:val="24"/>
        </w:rPr>
        <w:t>Local fuel costs and heat rates;</w:t>
      </w:r>
    </w:p>
    <w:p w:rsidR="00113467" w:rsidRPr="00002CA3" w:rsidRDefault="00113467" w:rsidP="00002CA3">
      <w:pPr>
        <w:pStyle w:val="ListParagraph"/>
        <w:numPr>
          <w:ilvl w:val="0"/>
          <w:numId w:val="22"/>
        </w:numPr>
        <w:spacing w:after="120"/>
        <w:jc w:val="both"/>
        <w:rPr>
          <w:rFonts w:ascii="Times New Roman" w:eastAsia="Times New Roman" w:hAnsi="Times New Roman" w:cs="Times New Roman"/>
          <w:sz w:val="24"/>
          <w:szCs w:val="24"/>
        </w:rPr>
      </w:pPr>
      <w:r w:rsidRPr="00002CA3">
        <w:rPr>
          <w:rFonts w:ascii="Times New Roman" w:eastAsia="Times New Roman" w:hAnsi="Times New Roman" w:cs="Times New Roman"/>
          <w:sz w:val="24"/>
          <w:szCs w:val="24"/>
        </w:rPr>
        <w:t>Co-generation with desalination;</w:t>
      </w:r>
    </w:p>
    <w:p w:rsidR="00113467" w:rsidRPr="00002CA3" w:rsidRDefault="00113467" w:rsidP="00002CA3">
      <w:pPr>
        <w:pStyle w:val="ListParagraph"/>
        <w:numPr>
          <w:ilvl w:val="0"/>
          <w:numId w:val="22"/>
        </w:numPr>
        <w:spacing w:after="120"/>
        <w:jc w:val="both"/>
        <w:rPr>
          <w:rFonts w:ascii="Times New Roman" w:eastAsia="Times New Roman" w:hAnsi="Times New Roman" w:cs="Times New Roman"/>
          <w:sz w:val="24"/>
          <w:szCs w:val="24"/>
        </w:rPr>
      </w:pPr>
      <w:r w:rsidRPr="00002CA3">
        <w:rPr>
          <w:rFonts w:ascii="Times New Roman" w:eastAsia="Times New Roman" w:hAnsi="Times New Roman" w:cs="Times New Roman"/>
          <w:sz w:val="24"/>
          <w:szCs w:val="24"/>
        </w:rPr>
        <w:t>Ambient conditions (high temperatures, dust);</w:t>
      </w:r>
    </w:p>
    <w:p w:rsidR="00113467" w:rsidRPr="00002CA3" w:rsidRDefault="00113467" w:rsidP="00002CA3">
      <w:pPr>
        <w:pStyle w:val="ListParagraph"/>
        <w:numPr>
          <w:ilvl w:val="0"/>
          <w:numId w:val="22"/>
        </w:numPr>
        <w:spacing w:after="120"/>
        <w:jc w:val="both"/>
        <w:rPr>
          <w:rFonts w:ascii="Times New Roman" w:eastAsia="Times New Roman" w:hAnsi="Times New Roman" w:cs="Times New Roman"/>
          <w:sz w:val="24"/>
          <w:szCs w:val="24"/>
        </w:rPr>
      </w:pPr>
      <w:r w:rsidRPr="00002CA3">
        <w:rPr>
          <w:rFonts w:ascii="Times New Roman" w:eastAsia="Times New Roman" w:hAnsi="Times New Roman" w:cs="Times New Roman"/>
          <w:sz w:val="24"/>
          <w:szCs w:val="24"/>
        </w:rPr>
        <w:t>Proximity to CO₂ storage sites and potential utilization industries.</w:t>
      </w:r>
    </w:p>
    <w:p w:rsid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xml:space="preserve">• Compare post-combustion, hybrid, and advanced cycles (e.g., </w:t>
      </w:r>
      <w:proofErr w:type="spellStart"/>
      <w:r w:rsidRPr="00113467">
        <w:rPr>
          <w:rFonts w:ascii="Times New Roman" w:eastAsia="Times New Roman" w:hAnsi="Times New Roman" w:cs="Times New Roman"/>
          <w:sz w:val="24"/>
          <w:szCs w:val="24"/>
        </w:rPr>
        <w:t>Allam</w:t>
      </w:r>
      <w:proofErr w:type="spellEnd"/>
      <w:r w:rsidRPr="00113467">
        <w:rPr>
          <w:rFonts w:ascii="Times New Roman" w:eastAsia="Times New Roman" w:hAnsi="Times New Roman" w:cs="Times New Roman"/>
          <w:sz w:val="24"/>
          <w:szCs w:val="24"/>
        </w:rPr>
        <w:t xml:space="preserve"> cycle, CLC) under Saudi conditions to identify least-cost pathways (Zhao et al., 2023; NET Power, 2023).</w:t>
      </w:r>
    </w:p>
    <w:p w:rsidR="00002CA3" w:rsidRPr="00113467" w:rsidRDefault="00002CA3" w:rsidP="00113467">
      <w:pPr>
        <w:spacing w:after="120"/>
        <w:jc w:val="both"/>
        <w:rPr>
          <w:rFonts w:ascii="Times New Roman" w:eastAsia="Times New Roman" w:hAnsi="Times New Roman" w:cs="Times New Roman"/>
          <w:sz w:val="24"/>
          <w:szCs w:val="24"/>
        </w:rPr>
      </w:pPr>
    </w:p>
    <w:p w:rsidR="00113467" w:rsidRPr="00002CA3" w:rsidRDefault="00113467" w:rsidP="00113467">
      <w:pPr>
        <w:spacing w:after="120"/>
        <w:jc w:val="both"/>
        <w:rPr>
          <w:rFonts w:ascii="Times New Roman" w:eastAsia="Times New Roman" w:hAnsi="Times New Roman" w:cs="Times New Roman"/>
          <w:b/>
          <w:sz w:val="24"/>
          <w:szCs w:val="24"/>
        </w:rPr>
      </w:pPr>
      <w:r w:rsidRPr="00002CA3">
        <w:rPr>
          <w:rFonts w:ascii="Times New Roman" w:eastAsia="Times New Roman" w:hAnsi="Times New Roman" w:cs="Times New Roman"/>
          <w:b/>
          <w:sz w:val="24"/>
          <w:szCs w:val="24"/>
        </w:rPr>
        <w:t>7.2 Integration with hydrogen export clusters</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xml:space="preserve">• Model NEOM and </w:t>
      </w:r>
      <w:proofErr w:type="spellStart"/>
      <w:r w:rsidRPr="00113467">
        <w:rPr>
          <w:rFonts w:ascii="Times New Roman" w:eastAsia="Times New Roman" w:hAnsi="Times New Roman" w:cs="Times New Roman"/>
          <w:sz w:val="24"/>
          <w:szCs w:val="24"/>
        </w:rPr>
        <w:t>Yanbu</w:t>
      </w:r>
      <w:proofErr w:type="spellEnd"/>
      <w:r w:rsidRPr="00113467">
        <w:rPr>
          <w:rFonts w:ascii="Times New Roman" w:eastAsia="Times New Roman" w:hAnsi="Times New Roman" w:cs="Times New Roman"/>
          <w:sz w:val="24"/>
          <w:szCs w:val="24"/>
        </w:rPr>
        <w:t xml:space="preserve"> as integrated hydrogen–power–CCU clusters, exploring (ACWA Power, 2024; IEA, 2023a):</w:t>
      </w:r>
    </w:p>
    <w:p w:rsidR="00113467" w:rsidRPr="00002CA3" w:rsidRDefault="00113467" w:rsidP="00002CA3">
      <w:pPr>
        <w:pStyle w:val="ListParagraph"/>
        <w:numPr>
          <w:ilvl w:val="0"/>
          <w:numId w:val="22"/>
        </w:numPr>
        <w:spacing w:after="120"/>
        <w:jc w:val="both"/>
        <w:rPr>
          <w:rFonts w:ascii="Times New Roman" w:eastAsia="Times New Roman" w:hAnsi="Times New Roman" w:cs="Times New Roman"/>
          <w:sz w:val="24"/>
          <w:szCs w:val="24"/>
        </w:rPr>
      </w:pPr>
      <w:r w:rsidRPr="00002CA3">
        <w:rPr>
          <w:rFonts w:ascii="Times New Roman" w:eastAsia="Times New Roman" w:hAnsi="Times New Roman" w:cs="Times New Roman"/>
          <w:sz w:val="24"/>
          <w:szCs w:val="24"/>
        </w:rPr>
        <w:lastRenderedPageBreak/>
        <w:t>Optimal allocation of CCU between power, hydrogen production units, and other industrial sources;</w:t>
      </w:r>
    </w:p>
    <w:p w:rsidR="00113467" w:rsidRPr="00002CA3" w:rsidRDefault="00113467" w:rsidP="00002CA3">
      <w:pPr>
        <w:pStyle w:val="ListParagraph"/>
        <w:numPr>
          <w:ilvl w:val="0"/>
          <w:numId w:val="22"/>
        </w:numPr>
        <w:spacing w:after="120"/>
        <w:jc w:val="both"/>
        <w:rPr>
          <w:rFonts w:ascii="Times New Roman" w:eastAsia="Times New Roman" w:hAnsi="Times New Roman" w:cs="Times New Roman"/>
          <w:sz w:val="24"/>
          <w:szCs w:val="24"/>
        </w:rPr>
      </w:pPr>
      <w:r w:rsidRPr="00002CA3">
        <w:rPr>
          <w:rFonts w:ascii="Times New Roman" w:eastAsia="Times New Roman" w:hAnsi="Times New Roman" w:cs="Times New Roman"/>
          <w:sz w:val="24"/>
          <w:szCs w:val="24"/>
        </w:rPr>
        <w:t>Joint infrastructure planning for CO₂ pipelines, storage hubs, and utilization plants;</w:t>
      </w:r>
    </w:p>
    <w:p w:rsidR="00113467" w:rsidRPr="00002CA3" w:rsidRDefault="00113467" w:rsidP="00002CA3">
      <w:pPr>
        <w:pStyle w:val="ListParagraph"/>
        <w:numPr>
          <w:ilvl w:val="0"/>
          <w:numId w:val="22"/>
        </w:numPr>
        <w:spacing w:after="120"/>
        <w:jc w:val="both"/>
        <w:rPr>
          <w:rFonts w:ascii="Times New Roman" w:eastAsia="Times New Roman" w:hAnsi="Times New Roman" w:cs="Times New Roman"/>
          <w:sz w:val="24"/>
          <w:szCs w:val="24"/>
        </w:rPr>
      </w:pPr>
      <w:r w:rsidRPr="00002CA3">
        <w:rPr>
          <w:rFonts w:ascii="Times New Roman" w:eastAsia="Times New Roman" w:hAnsi="Times New Roman" w:cs="Times New Roman"/>
          <w:sz w:val="24"/>
          <w:szCs w:val="24"/>
        </w:rPr>
        <w:t>Sensitivity to international hydrogen certification rules and carbon border adjustment mechanisms (European Union, 2023).</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7.3 CO₂ utilization R&amp;D and pilot projects</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Launch pilot projects on (IRENA, 2022; Carbon Cure, 2023):</w:t>
      </w:r>
    </w:p>
    <w:p w:rsidR="00113467" w:rsidRPr="00002CA3" w:rsidRDefault="00113467" w:rsidP="00002CA3">
      <w:pPr>
        <w:pStyle w:val="ListParagraph"/>
        <w:numPr>
          <w:ilvl w:val="0"/>
          <w:numId w:val="22"/>
        </w:numPr>
        <w:spacing w:after="120"/>
        <w:jc w:val="both"/>
        <w:rPr>
          <w:rFonts w:ascii="Times New Roman" w:eastAsia="Times New Roman" w:hAnsi="Times New Roman" w:cs="Times New Roman"/>
          <w:sz w:val="24"/>
          <w:szCs w:val="24"/>
        </w:rPr>
      </w:pPr>
      <w:r w:rsidRPr="00002CA3">
        <w:rPr>
          <w:rFonts w:ascii="Times New Roman" w:eastAsia="Times New Roman" w:hAnsi="Times New Roman" w:cs="Times New Roman"/>
          <w:sz w:val="24"/>
          <w:szCs w:val="24"/>
        </w:rPr>
        <w:t>CO₂ mineralization in concrete and building materials suitable for Saudi construction markets;</w:t>
      </w:r>
    </w:p>
    <w:p w:rsidR="00113467" w:rsidRPr="00002CA3" w:rsidRDefault="00113467" w:rsidP="00002CA3">
      <w:pPr>
        <w:pStyle w:val="ListParagraph"/>
        <w:numPr>
          <w:ilvl w:val="0"/>
          <w:numId w:val="22"/>
        </w:numPr>
        <w:spacing w:after="120"/>
        <w:jc w:val="both"/>
        <w:rPr>
          <w:rFonts w:ascii="Times New Roman" w:eastAsia="Times New Roman" w:hAnsi="Times New Roman" w:cs="Times New Roman"/>
          <w:sz w:val="24"/>
          <w:szCs w:val="24"/>
        </w:rPr>
      </w:pPr>
      <w:r w:rsidRPr="00002CA3">
        <w:rPr>
          <w:rFonts w:ascii="Times New Roman" w:eastAsia="Times New Roman" w:hAnsi="Times New Roman" w:cs="Times New Roman"/>
          <w:sz w:val="24"/>
          <w:szCs w:val="24"/>
        </w:rPr>
        <w:t xml:space="preserve">CO₂-derived chemicals (e.g., methanol) in collaboration with petrochemical companies (Saudi </w:t>
      </w:r>
      <w:proofErr w:type="spellStart"/>
      <w:r w:rsidRPr="00002CA3">
        <w:rPr>
          <w:rFonts w:ascii="Times New Roman" w:eastAsia="Times New Roman" w:hAnsi="Times New Roman" w:cs="Times New Roman"/>
          <w:sz w:val="24"/>
          <w:szCs w:val="24"/>
        </w:rPr>
        <w:t>Aramco</w:t>
      </w:r>
      <w:proofErr w:type="spellEnd"/>
      <w:r w:rsidRPr="00002CA3">
        <w:rPr>
          <w:rFonts w:ascii="Times New Roman" w:eastAsia="Times New Roman" w:hAnsi="Times New Roman" w:cs="Times New Roman"/>
          <w:sz w:val="24"/>
          <w:szCs w:val="24"/>
        </w:rPr>
        <w:t>, 2024);</w:t>
      </w:r>
    </w:p>
    <w:p w:rsidR="00113467" w:rsidRPr="00002CA3" w:rsidRDefault="00113467" w:rsidP="00002CA3">
      <w:pPr>
        <w:pStyle w:val="ListParagraph"/>
        <w:numPr>
          <w:ilvl w:val="0"/>
          <w:numId w:val="22"/>
        </w:numPr>
        <w:spacing w:after="120"/>
        <w:jc w:val="both"/>
        <w:rPr>
          <w:rFonts w:ascii="Times New Roman" w:eastAsia="Times New Roman" w:hAnsi="Times New Roman" w:cs="Times New Roman"/>
          <w:sz w:val="24"/>
          <w:szCs w:val="24"/>
        </w:rPr>
      </w:pPr>
      <w:r w:rsidRPr="00002CA3">
        <w:rPr>
          <w:rFonts w:ascii="Times New Roman" w:eastAsia="Times New Roman" w:hAnsi="Times New Roman" w:cs="Times New Roman"/>
          <w:sz w:val="24"/>
          <w:szCs w:val="24"/>
        </w:rPr>
        <w:t>Synthetic fuels using Saudi green/blue hydrogen and captured CO₂ targeted at aviation and maritime sectors (IRENA, 2023).</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Evaluate life-cycle emissions, economics, and scalability for each pathway in the Saudi context (ISO, 2023).</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7.4 CCE-aligned metrics and MRV</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Develop robust measurement, reporting, and verification (MRV) systems compatible with (ISO, 2023; Global CCS Institute, 2024):</w:t>
      </w:r>
    </w:p>
    <w:p w:rsidR="00113467" w:rsidRPr="00002CA3" w:rsidRDefault="00113467" w:rsidP="00002CA3">
      <w:pPr>
        <w:pStyle w:val="ListParagraph"/>
        <w:numPr>
          <w:ilvl w:val="0"/>
          <w:numId w:val="22"/>
        </w:numPr>
        <w:spacing w:after="120"/>
        <w:jc w:val="both"/>
        <w:rPr>
          <w:rFonts w:ascii="Times New Roman" w:eastAsia="Times New Roman" w:hAnsi="Times New Roman" w:cs="Times New Roman"/>
          <w:sz w:val="24"/>
          <w:szCs w:val="24"/>
        </w:rPr>
      </w:pPr>
      <w:r w:rsidRPr="00002CA3">
        <w:rPr>
          <w:rFonts w:ascii="Times New Roman" w:eastAsia="Times New Roman" w:hAnsi="Times New Roman" w:cs="Times New Roman"/>
          <w:sz w:val="24"/>
          <w:szCs w:val="24"/>
        </w:rPr>
        <w:t>GHG Protocol,</w:t>
      </w:r>
    </w:p>
    <w:p w:rsidR="00113467" w:rsidRPr="00002CA3" w:rsidRDefault="00113467" w:rsidP="00002CA3">
      <w:pPr>
        <w:pStyle w:val="ListParagraph"/>
        <w:numPr>
          <w:ilvl w:val="0"/>
          <w:numId w:val="22"/>
        </w:numPr>
        <w:spacing w:after="120"/>
        <w:jc w:val="both"/>
        <w:rPr>
          <w:rFonts w:ascii="Times New Roman" w:eastAsia="Times New Roman" w:hAnsi="Times New Roman" w:cs="Times New Roman"/>
          <w:sz w:val="24"/>
          <w:szCs w:val="24"/>
        </w:rPr>
      </w:pPr>
      <w:r w:rsidRPr="00002CA3">
        <w:rPr>
          <w:rFonts w:ascii="Times New Roman" w:eastAsia="Times New Roman" w:hAnsi="Times New Roman" w:cs="Times New Roman"/>
          <w:sz w:val="24"/>
          <w:szCs w:val="24"/>
        </w:rPr>
        <w:t>ISO standards for lifecycle assessment,</w:t>
      </w:r>
    </w:p>
    <w:p w:rsidR="00113467" w:rsidRPr="00002CA3" w:rsidRDefault="00113467" w:rsidP="00002CA3">
      <w:pPr>
        <w:pStyle w:val="ListParagraph"/>
        <w:numPr>
          <w:ilvl w:val="0"/>
          <w:numId w:val="22"/>
        </w:numPr>
        <w:spacing w:after="120"/>
        <w:jc w:val="both"/>
        <w:rPr>
          <w:rFonts w:ascii="Times New Roman" w:eastAsia="Times New Roman" w:hAnsi="Times New Roman" w:cs="Times New Roman"/>
          <w:sz w:val="24"/>
          <w:szCs w:val="24"/>
        </w:rPr>
      </w:pPr>
      <w:r w:rsidRPr="00002CA3">
        <w:rPr>
          <w:rFonts w:ascii="Times New Roman" w:eastAsia="Times New Roman" w:hAnsi="Times New Roman" w:cs="Times New Roman"/>
          <w:sz w:val="24"/>
          <w:szCs w:val="24"/>
        </w:rPr>
        <w:t>Emerging hydrogen and ammonia certification schemes (European Union, 2023).</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Propose CCE-aligned indicators, such as (Ministry of Energy, Saudi Arabia, 2020):</w:t>
      </w:r>
    </w:p>
    <w:p w:rsidR="00113467" w:rsidRPr="00002CA3" w:rsidRDefault="00113467" w:rsidP="00002CA3">
      <w:pPr>
        <w:pStyle w:val="ListParagraph"/>
        <w:numPr>
          <w:ilvl w:val="0"/>
          <w:numId w:val="22"/>
        </w:numPr>
        <w:spacing w:after="120"/>
        <w:jc w:val="both"/>
        <w:rPr>
          <w:rFonts w:ascii="Times New Roman" w:eastAsia="Times New Roman" w:hAnsi="Times New Roman" w:cs="Times New Roman"/>
          <w:sz w:val="24"/>
          <w:szCs w:val="24"/>
        </w:rPr>
      </w:pPr>
      <w:r w:rsidRPr="00002CA3">
        <w:rPr>
          <w:rFonts w:ascii="Times New Roman" w:eastAsia="Times New Roman" w:hAnsi="Times New Roman" w:cs="Times New Roman"/>
          <w:sz w:val="24"/>
          <w:szCs w:val="24"/>
        </w:rPr>
        <w:t>Percentage of CO₂ captured vs. emitted,</w:t>
      </w:r>
    </w:p>
    <w:p w:rsidR="00113467" w:rsidRPr="00002CA3" w:rsidRDefault="00113467" w:rsidP="00002CA3">
      <w:pPr>
        <w:pStyle w:val="ListParagraph"/>
        <w:numPr>
          <w:ilvl w:val="0"/>
          <w:numId w:val="22"/>
        </w:numPr>
        <w:spacing w:after="120"/>
        <w:jc w:val="both"/>
        <w:rPr>
          <w:rFonts w:ascii="Times New Roman" w:eastAsia="Times New Roman" w:hAnsi="Times New Roman" w:cs="Times New Roman"/>
          <w:sz w:val="24"/>
          <w:szCs w:val="24"/>
        </w:rPr>
      </w:pPr>
      <w:r w:rsidRPr="00002CA3">
        <w:rPr>
          <w:rFonts w:ascii="Times New Roman" w:eastAsia="Times New Roman" w:hAnsi="Times New Roman" w:cs="Times New Roman"/>
          <w:sz w:val="24"/>
          <w:szCs w:val="24"/>
        </w:rPr>
        <w:t>Share of CO₂ reused/recycled vs. permanently stored,</w:t>
      </w:r>
    </w:p>
    <w:p w:rsidR="00113467" w:rsidRPr="00002CA3" w:rsidRDefault="00113467" w:rsidP="00002CA3">
      <w:pPr>
        <w:pStyle w:val="ListParagraph"/>
        <w:numPr>
          <w:ilvl w:val="0"/>
          <w:numId w:val="22"/>
        </w:numPr>
        <w:spacing w:after="120"/>
        <w:jc w:val="both"/>
        <w:rPr>
          <w:rFonts w:ascii="Times New Roman" w:eastAsia="Times New Roman" w:hAnsi="Times New Roman" w:cs="Times New Roman"/>
          <w:sz w:val="24"/>
          <w:szCs w:val="24"/>
        </w:rPr>
      </w:pPr>
      <w:r w:rsidRPr="00002CA3">
        <w:rPr>
          <w:rFonts w:ascii="Times New Roman" w:eastAsia="Times New Roman" w:hAnsi="Times New Roman" w:cs="Times New Roman"/>
          <w:sz w:val="24"/>
          <w:szCs w:val="24"/>
        </w:rPr>
        <w:t xml:space="preserve">Net emissions intensity per </w:t>
      </w:r>
      <w:proofErr w:type="spellStart"/>
      <w:r w:rsidRPr="00002CA3">
        <w:rPr>
          <w:rFonts w:ascii="Times New Roman" w:eastAsia="Times New Roman" w:hAnsi="Times New Roman" w:cs="Times New Roman"/>
          <w:sz w:val="24"/>
          <w:szCs w:val="24"/>
        </w:rPr>
        <w:t>tonne</w:t>
      </w:r>
      <w:proofErr w:type="spellEnd"/>
      <w:r w:rsidRPr="00002CA3">
        <w:rPr>
          <w:rFonts w:ascii="Times New Roman" w:eastAsia="Times New Roman" w:hAnsi="Times New Roman" w:cs="Times New Roman"/>
          <w:sz w:val="24"/>
          <w:szCs w:val="24"/>
        </w:rPr>
        <w:t xml:space="preserve"> of exported hydrogen or ammonia.</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7.5 Social, regulatory, and geopolitical dimensions</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Conduct policy and legal research on CO₂ storage regulations, cross-border CO₂ transport, and liability frameworks (Global CCS Institute, 2024).</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Study public and international stakeholder perceptions of CCU and CCE, focusing on how Saudi projects can build trust and transparency (IEEFA, 2022).</w:t>
      </w:r>
    </w:p>
    <w:p w:rsid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xml:space="preserve">• Analyze geopolitical implications of Saudi hydrogen exports to Europe and Asia, considering different </w:t>
      </w:r>
      <w:proofErr w:type="spellStart"/>
      <w:r w:rsidRPr="00113467">
        <w:rPr>
          <w:rFonts w:ascii="Times New Roman" w:eastAsia="Times New Roman" w:hAnsi="Times New Roman" w:cs="Times New Roman"/>
          <w:sz w:val="24"/>
          <w:szCs w:val="24"/>
        </w:rPr>
        <w:t>decarbonization</w:t>
      </w:r>
      <w:proofErr w:type="spellEnd"/>
      <w:r w:rsidRPr="00113467">
        <w:rPr>
          <w:rFonts w:ascii="Times New Roman" w:eastAsia="Times New Roman" w:hAnsi="Times New Roman" w:cs="Times New Roman"/>
          <w:sz w:val="24"/>
          <w:szCs w:val="24"/>
        </w:rPr>
        <w:t xml:space="preserve"> pathways and potential competition from other hydrogen exporters (European Commission, 2023; IRENA, 2023).</w:t>
      </w:r>
    </w:p>
    <w:p w:rsidR="003458BE" w:rsidRPr="00113467" w:rsidRDefault="003458BE" w:rsidP="00113467">
      <w:pPr>
        <w:spacing w:after="120"/>
        <w:jc w:val="both"/>
        <w:rPr>
          <w:rFonts w:ascii="Times New Roman" w:eastAsia="Times New Roman" w:hAnsi="Times New Roman" w:cs="Times New Roman"/>
          <w:sz w:val="24"/>
          <w:szCs w:val="24"/>
        </w:rPr>
      </w:pPr>
    </w:p>
    <w:p w:rsidR="00113467" w:rsidRPr="00840A83" w:rsidRDefault="00113467" w:rsidP="00113467">
      <w:pPr>
        <w:numPr>
          <w:ilvl w:val="0"/>
          <w:numId w:val="18"/>
        </w:numPr>
        <w:spacing w:before="120" w:after="120"/>
        <w:jc w:val="both"/>
        <w:rPr>
          <w:rFonts w:ascii="Times New Roman" w:eastAsia="Times New Roman" w:hAnsi="Times New Roman" w:cs="Times New Roman"/>
          <w:b/>
          <w:sz w:val="24"/>
          <w:szCs w:val="24"/>
        </w:rPr>
      </w:pPr>
      <w:r w:rsidRPr="00840A83">
        <w:rPr>
          <w:rFonts w:ascii="Times New Roman" w:eastAsia="Times New Roman" w:hAnsi="Times New Roman" w:cs="Times New Roman"/>
          <w:b/>
          <w:sz w:val="24"/>
          <w:szCs w:val="24"/>
        </w:rPr>
        <w:lastRenderedPageBreak/>
        <w:t>Conclusion</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Saudi Arabia is at a strategic crossroads. While it remains a leading global oil and gas producer, it is also investing in green and low-carbon hydrogen and promoting the Circular Carbon Economy as a practical framework for climate action (Ministry of Energy, Saudi Arabia, 2020; Vision 2030, 2023). To achieve its goal of becoming a major hydrogen exporter and meeting climate commitments, the Kingdom must reduce the carbon intensity of both domestic energy systems and exported energy carriers (IEA, 2023a).</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xml:space="preserve">Carbon Capture &amp; Utilization (CCU) in natural gas and oil-fired power plants is a key lever in this transition. Properly designed, CCU can (IEA, 2021; Saudi </w:t>
      </w:r>
      <w:proofErr w:type="spellStart"/>
      <w:r w:rsidRPr="00113467">
        <w:rPr>
          <w:rFonts w:ascii="Times New Roman" w:eastAsia="Times New Roman" w:hAnsi="Times New Roman" w:cs="Times New Roman"/>
          <w:sz w:val="24"/>
          <w:szCs w:val="24"/>
        </w:rPr>
        <w:t>Aramco</w:t>
      </w:r>
      <w:proofErr w:type="spellEnd"/>
      <w:r w:rsidRPr="00113467">
        <w:rPr>
          <w:rFonts w:ascii="Times New Roman" w:eastAsia="Times New Roman" w:hAnsi="Times New Roman" w:cs="Times New Roman"/>
          <w:sz w:val="24"/>
          <w:szCs w:val="24"/>
        </w:rPr>
        <w:t>, 2024):</w:t>
      </w:r>
    </w:p>
    <w:p w:rsidR="00113467" w:rsidRPr="00E618FF" w:rsidRDefault="00113467" w:rsidP="00E618FF">
      <w:pPr>
        <w:spacing w:after="120"/>
        <w:jc w:val="both"/>
        <w:rPr>
          <w:rFonts w:ascii="Times New Roman" w:eastAsia="Times New Roman" w:hAnsi="Times New Roman" w:cs="Times New Roman"/>
          <w:sz w:val="24"/>
          <w:szCs w:val="24"/>
        </w:rPr>
      </w:pPr>
      <w:r w:rsidRPr="00E618FF">
        <w:rPr>
          <w:rFonts w:ascii="Times New Roman" w:eastAsia="Times New Roman" w:hAnsi="Times New Roman" w:cs="Times New Roman"/>
          <w:sz w:val="24"/>
          <w:szCs w:val="24"/>
        </w:rPr>
        <w:t>Cut emissions from existing fossil-based power generation;</w:t>
      </w:r>
    </w:p>
    <w:p w:rsidR="00113467" w:rsidRPr="00E618FF" w:rsidRDefault="00113467" w:rsidP="00E618FF">
      <w:pPr>
        <w:spacing w:after="120"/>
        <w:jc w:val="both"/>
        <w:rPr>
          <w:rFonts w:ascii="Times New Roman" w:eastAsia="Times New Roman" w:hAnsi="Times New Roman" w:cs="Times New Roman"/>
          <w:sz w:val="24"/>
          <w:szCs w:val="24"/>
        </w:rPr>
      </w:pPr>
      <w:r w:rsidRPr="00E618FF">
        <w:rPr>
          <w:rFonts w:ascii="Times New Roman" w:eastAsia="Times New Roman" w:hAnsi="Times New Roman" w:cs="Times New Roman"/>
          <w:sz w:val="24"/>
          <w:szCs w:val="24"/>
        </w:rPr>
        <w:t>Provide feedstock for circular carbon applications (chemicals, materials, synthetic fuels);</w:t>
      </w:r>
    </w:p>
    <w:p w:rsidR="00113467" w:rsidRPr="00E618FF" w:rsidRDefault="00113467" w:rsidP="00E618FF">
      <w:pPr>
        <w:spacing w:after="120"/>
        <w:jc w:val="both"/>
        <w:rPr>
          <w:rFonts w:ascii="Times New Roman" w:eastAsia="Times New Roman" w:hAnsi="Times New Roman" w:cs="Times New Roman"/>
          <w:sz w:val="24"/>
          <w:szCs w:val="24"/>
        </w:rPr>
      </w:pPr>
      <w:r w:rsidRPr="00E618FF">
        <w:rPr>
          <w:rFonts w:ascii="Times New Roman" w:eastAsia="Times New Roman" w:hAnsi="Times New Roman" w:cs="Times New Roman"/>
          <w:sz w:val="24"/>
          <w:szCs w:val="24"/>
        </w:rPr>
        <w:t xml:space="preserve">Lower the lifecycle emissions of green and blue hydrogen clusters such as NEOM and </w:t>
      </w:r>
      <w:proofErr w:type="spellStart"/>
      <w:r w:rsidRPr="00E618FF">
        <w:rPr>
          <w:rFonts w:ascii="Times New Roman" w:eastAsia="Times New Roman" w:hAnsi="Times New Roman" w:cs="Times New Roman"/>
          <w:sz w:val="24"/>
          <w:szCs w:val="24"/>
        </w:rPr>
        <w:t>Yanbu</w:t>
      </w:r>
      <w:proofErr w:type="spellEnd"/>
      <w:r w:rsidRPr="00E618FF">
        <w:rPr>
          <w:rFonts w:ascii="Times New Roman" w:eastAsia="Times New Roman" w:hAnsi="Times New Roman" w:cs="Times New Roman"/>
          <w:sz w:val="24"/>
          <w:szCs w:val="24"/>
        </w:rPr>
        <w:t>;</w:t>
      </w:r>
    </w:p>
    <w:p w:rsidR="00113467" w:rsidRPr="00E618FF" w:rsidRDefault="00113467" w:rsidP="00E618FF">
      <w:pPr>
        <w:spacing w:after="120"/>
        <w:jc w:val="both"/>
        <w:rPr>
          <w:rFonts w:ascii="Times New Roman" w:eastAsia="Times New Roman" w:hAnsi="Times New Roman" w:cs="Times New Roman"/>
          <w:sz w:val="24"/>
          <w:szCs w:val="24"/>
        </w:rPr>
      </w:pPr>
      <w:r w:rsidRPr="00E618FF">
        <w:rPr>
          <w:rFonts w:ascii="Times New Roman" w:eastAsia="Times New Roman" w:hAnsi="Times New Roman" w:cs="Times New Roman"/>
          <w:sz w:val="24"/>
          <w:szCs w:val="24"/>
        </w:rPr>
        <w:t xml:space="preserve">Support the creation of CCUS hubs like </w:t>
      </w:r>
      <w:proofErr w:type="spellStart"/>
      <w:r w:rsidRPr="00E618FF">
        <w:rPr>
          <w:rFonts w:ascii="Times New Roman" w:eastAsia="Times New Roman" w:hAnsi="Times New Roman" w:cs="Times New Roman"/>
          <w:sz w:val="24"/>
          <w:szCs w:val="24"/>
        </w:rPr>
        <w:t>Jubail</w:t>
      </w:r>
      <w:proofErr w:type="spellEnd"/>
      <w:r w:rsidRPr="00E618FF">
        <w:rPr>
          <w:rFonts w:ascii="Times New Roman" w:eastAsia="Times New Roman" w:hAnsi="Times New Roman" w:cs="Times New Roman"/>
          <w:sz w:val="24"/>
          <w:szCs w:val="24"/>
        </w:rPr>
        <w:t xml:space="preserve"> that achieve economies of scale in transport and storage.</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However, CCU is not a comprehensive solution. It faces cost and efficiency challenges, and its global track record includes underperforming projects and skepticism from some in the climate community (IEEFA, 2022). This highlights the need for focused research and careful implementation. By investing in process integration and related advancements (Rubin et al., 2023; Zhao et al., 2023; Li et al., 2023; Wang et al., 2024; Global CCS Institute, 2024):</w:t>
      </w:r>
    </w:p>
    <w:p w:rsidR="00113467" w:rsidRPr="002D2FF4" w:rsidRDefault="00113467" w:rsidP="002D2FF4">
      <w:pPr>
        <w:spacing w:after="120"/>
        <w:jc w:val="both"/>
        <w:rPr>
          <w:rFonts w:ascii="Times New Roman" w:eastAsia="Times New Roman" w:hAnsi="Times New Roman" w:cs="Times New Roman"/>
          <w:sz w:val="24"/>
          <w:szCs w:val="24"/>
        </w:rPr>
      </w:pPr>
      <w:r w:rsidRPr="002D2FF4">
        <w:rPr>
          <w:rFonts w:ascii="Times New Roman" w:eastAsia="Times New Roman" w:hAnsi="Times New Roman" w:cs="Times New Roman"/>
          <w:sz w:val="24"/>
          <w:szCs w:val="24"/>
        </w:rPr>
        <w:t>Shared CCUS hubs and optimized cluster design;</w:t>
      </w:r>
      <w:r w:rsidR="002D2FF4">
        <w:rPr>
          <w:rFonts w:ascii="Times New Roman" w:eastAsia="Times New Roman" w:hAnsi="Times New Roman" w:cs="Times New Roman"/>
          <w:sz w:val="24"/>
          <w:szCs w:val="24"/>
        </w:rPr>
        <w:t xml:space="preserve"> </w:t>
      </w:r>
      <w:r w:rsidRPr="002D2FF4">
        <w:rPr>
          <w:rFonts w:ascii="Times New Roman" w:eastAsia="Times New Roman" w:hAnsi="Times New Roman" w:cs="Times New Roman"/>
          <w:sz w:val="24"/>
          <w:szCs w:val="24"/>
        </w:rPr>
        <w:t>Diverse CO₂ utilization pathways aligned with CCE;</w:t>
      </w:r>
      <w:r w:rsidR="002D2FF4">
        <w:rPr>
          <w:rFonts w:ascii="Times New Roman" w:eastAsia="Times New Roman" w:hAnsi="Times New Roman" w:cs="Times New Roman"/>
          <w:sz w:val="24"/>
          <w:szCs w:val="24"/>
        </w:rPr>
        <w:t xml:space="preserve"> </w:t>
      </w:r>
      <w:r w:rsidRPr="002D2FF4">
        <w:rPr>
          <w:rFonts w:ascii="Times New Roman" w:eastAsia="Times New Roman" w:hAnsi="Times New Roman" w:cs="Times New Roman"/>
          <w:sz w:val="24"/>
          <w:szCs w:val="24"/>
        </w:rPr>
        <w:t>Strong MRV and transparent reporting;</w:t>
      </w:r>
    </w:p>
    <w:p w:rsidR="003458BE" w:rsidRDefault="00113467" w:rsidP="002D2FF4">
      <w:pPr>
        <w:spacing w:after="120"/>
        <w:jc w:val="both"/>
        <w:rPr>
          <w:rFonts w:ascii="Times New Roman" w:eastAsia="Times New Roman" w:hAnsi="Times New Roman" w:cs="Times New Roman"/>
          <w:sz w:val="24"/>
          <w:szCs w:val="24"/>
        </w:rPr>
      </w:pPr>
      <w:r w:rsidRPr="002D2FF4">
        <w:rPr>
          <w:rFonts w:ascii="Times New Roman" w:eastAsia="Times New Roman" w:hAnsi="Times New Roman" w:cs="Times New Roman"/>
          <w:sz w:val="24"/>
          <w:szCs w:val="24"/>
        </w:rPr>
        <w:t>Strategic international collaborations around hydrogen and CCS,</w:t>
      </w:r>
    </w:p>
    <w:p w:rsidR="00113467" w:rsidRPr="002D2FF4" w:rsidRDefault="00113467" w:rsidP="002D2FF4">
      <w:pPr>
        <w:spacing w:after="120"/>
        <w:jc w:val="both"/>
        <w:rPr>
          <w:rFonts w:ascii="Times New Roman" w:eastAsia="Times New Roman" w:hAnsi="Times New Roman" w:cs="Times New Roman"/>
          <w:sz w:val="24"/>
          <w:szCs w:val="24"/>
        </w:rPr>
      </w:pPr>
      <w:r w:rsidRPr="002D2FF4">
        <w:rPr>
          <w:rFonts w:ascii="Times New Roman" w:eastAsia="Times New Roman" w:hAnsi="Times New Roman" w:cs="Times New Roman"/>
          <w:sz w:val="24"/>
          <w:szCs w:val="24"/>
        </w:rPr>
        <w:br/>
        <w:t>Saudi Arabia can shape CCU in power plants into a credible, cost-effective pillar of its hydrogen export strategy (ACWA Power, 2024; European Commission, 2023).</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Ultimately, the Kingdom’s success will be measured not only by the scale of its hydrogen plants or CCUS hubs, but by the actual emissions reductions achieved per unit of energy exported (European Union, 2023; ISO, 2023). Research focused on lowering CCU costs and improving efficiency, tailored to Saudi-specific conditions and Vision 2030 priorities, is essential to turning these ambitions into a lasting, climate-aligned reality (Vision 2030, 2023; Saudi Green Initiative, 2023).</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Figure 1: The Circular Carbon Economy (4Rs) Framework and CCU Role in Saudi Arabia</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Figure Title: The Circular Carbon Economy Framework: Four Pillars and CCU Integration</w:t>
      </w:r>
    </w:p>
    <w:p w:rsidR="00113467" w:rsidRPr="00113467" w:rsidRDefault="00113467" w:rsidP="00E618FF">
      <w:pPr>
        <w:spacing w:after="120" w:line="240" w:lineRule="auto"/>
        <w:rPr>
          <w:rFonts w:ascii="Times New Roman" w:eastAsia="Times New Roman" w:hAnsi="Times New Roman" w:cs="Times New Roman"/>
          <w:sz w:val="16"/>
          <w:szCs w:val="16"/>
        </w:rPr>
      </w:pPr>
      <w:r w:rsidRPr="00113467">
        <w:rPr>
          <w:rFonts w:ascii="Times New Roman" w:eastAsia="Times New Roman" w:hAnsi="Times New Roman" w:cs="Times New Roman"/>
          <w:sz w:val="24"/>
          <w:szCs w:val="24"/>
        </w:rPr>
        <w:t xml:space="preserve">Caption: This diagram illustrates Saudi Arabia’s Circular Carbon Economy (CCE) framework built on four pillars—Reduce, Reuse, Recycle, and Remove—and shows how Carbon Capture &amp; </w:t>
      </w:r>
      <w:r w:rsidRPr="00113467">
        <w:rPr>
          <w:rFonts w:ascii="Times New Roman" w:eastAsia="Times New Roman" w:hAnsi="Times New Roman" w:cs="Times New Roman"/>
          <w:sz w:val="24"/>
          <w:szCs w:val="24"/>
        </w:rPr>
        <w:lastRenderedPageBreak/>
        <w:t xml:space="preserve">Utilization (CCU) from power plants integrates across multiple pillars. CCU supports “Reuse” by converting captured CO₂ into industrial </w:t>
      </w:r>
      <w:proofErr w:type="spellStart"/>
      <w:r w:rsidRPr="00113467">
        <w:rPr>
          <w:rFonts w:ascii="Times New Roman" w:eastAsia="Times New Roman" w:hAnsi="Times New Roman" w:cs="Times New Roman"/>
          <w:sz w:val="24"/>
          <w:szCs w:val="24"/>
        </w:rPr>
        <w:t>feedstocks</w:t>
      </w:r>
      <w:proofErr w:type="spellEnd"/>
      <w:r w:rsidRPr="00113467">
        <w:rPr>
          <w:rFonts w:ascii="Times New Roman" w:eastAsia="Times New Roman" w:hAnsi="Times New Roman" w:cs="Times New Roman"/>
          <w:sz w:val="24"/>
          <w:szCs w:val="24"/>
        </w:rPr>
        <w:t>, “Recycle” by enabling circular material flows, and “Remove” when coupled with permanent geological storage. The framework aligns with Vision 2030 and positions Saudi Arabia as a leader in low-carbon hydrogen exports while maintaining energy security.</w:t>
      </w:r>
      <w:r w:rsidRPr="00113467">
        <w:rPr>
          <w:rFonts w:ascii="Times New Roman" w:eastAsia="Times New Roman" w:hAnsi="Times New Roman" w:cs="Times New Roman"/>
          <w:sz w:val="24"/>
          <w:szCs w:val="24"/>
        </w:rPr>
        <w:br/>
      </w:r>
    </w:p>
    <w:p w:rsidR="00113467" w:rsidRPr="00113467" w:rsidRDefault="00E618FF" w:rsidP="00113467">
      <w:pPr>
        <w:spacing w:after="12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br/>
      </w:r>
      <w:r w:rsidR="00113467" w:rsidRPr="00113467">
        <w:rPr>
          <w:rFonts w:ascii="Times New Roman" w:eastAsia="Times New Roman" w:hAnsi="Times New Roman" w:cs="Times New Roman"/>
          <w:sz w:val="24"/>
          <w:szCs w:val="24"/>
        </w:rPr>
        <w:t>Figure Title: Integrated Hydrogen Export Value Chain: Green and Blue Pathways with CCU</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xml:space="preserve">Caption: This flowchart maps the complete Saudi hydrogen export value chain, showing both green hydrogen (renewable-powered electrolysis) and blue hydrogen (natural gas with CCU) pathways. CCU from natural gas power plants and SMR/ATR units reduces the carbon intensity of both electricity supply and hydrogen production. The diagram highlights integration points at NEOM, </w:t>
      </w:r>
      <w:proofErr w:type="spellStart"/>
      <w:r w:rsidRPr="00113467">
        <w:rPr>
          <w:rFonts w:ascii="Times New Roman" w:eastAsia="Times New Roman" w:hAnsi="Times New Roman" w:cs="Times New Roman"/>
          <w:sz w:val="24"/>
          <w:szCs w:val="24"/>
        </w:rPr>
        <w:t>Yanbu</w:t>
      </w:r>
      <w:proofErr w:type="spellEnd"/>
      <w:r w:rsidRPr="00113467">
        <w:rPr>
          <w:rFonts w:ascii="Times New Roman" w:eastAsia="Times New Roman" w:hAnsi="Times New Roman" w:cs="Times New Roman"/>
          <w:sz w:val="24"/>
          <w:szCs w:val="24"/>
        </w:rPr>
        <w:t xml:space="preserve">, and </w:t>
      </w:r>
      <w:proofErr w:type="spellStart"/>
      <w:r w:rsidRPr="00113467">
        <w:rPr>
          <w:rFonts w:ascii="Times New Roman" w:eastAsia="Times New Roman" w:hAnsi="Times New Roman" w:cs="Times New Roman"/>
          <w:sz w:val="24"/>
          <w:szCs w:val="24"/>
        </w:rPr>
        <w:t>Jubail</w:t>
      </w:r>
      <w:proofErr w:type="spellEnd"/>
      <w:r w:rsidRPr="00113467">
        <w:rPr>
          <w:rFonts w:ascii="Times New Roman" w:eastAsia="Times New Roman" w:hAnsi="Times New Roman" w:cs="Times New Roman"/>
          <w:sz w:val="24"/>
          <w:szCs w:val="24"/>
        </w:rPr>
        <w:t xml:space="preserve"> industrial clusters, where shared CCUS hubs aggregate CO₂ for transport, storage, and utilization. Final products (green ammonia, blue ammonia, and synthetic fuels) are exported to meet international low-carbon certification standards.</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Figure 3: Cost-Efficiency Improvement Levers for CCU in Saudi Power Plants</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Figure Title: Strategic Levers to Lower CCU Costs and Improve Efficiency in Saudi NGCC Plants</w:t>
      </w:r>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xml:space="preserve">Caption: This diagram presents the key technical, operational, and policy levers that can reduce the cost and energy penalty of CO₂ capture in Saudi natural gas combined-cycle (NGCC) and oil-fired power plants. Levers are grouped into four categories: (1) Technology optimization (advanced solvents, hybrid cycles, </w:t>
      </w:r>
      <w:proofErr w:type="gramStart"/>
      <w:r w:rsidRPr="00113467">
        <w:rPr>
          <w:rFonts w:ascii="Times New Roman" w:eastAsia="Times New Roman" w:hAnsi="Times New Roman" w:cs="Times New Roman"/>
          <w:sz w:val="24"/>
          <w:szCs w:val="24"/>
        </w:rPr>
        <w:t>process</w:t>
      </w:r>
      <w:proofErr w:type="gramEnd"/>
      <w:r w:rsidRPr="00113467">
        <w:rPr>
          <w:rFonts w:ascii="Times New Roman" w:eastAsia="Times New Roman" w:hAnsi="Times New Roman" w:cs="Times New Roman"/>
          <w:sz w:val="24"/>
          <w:szCs w:val="24"/>
        </w:rPr>
        <w:t xml:space="preserve"> intensification); (2) System integration (heat recovery from co-generation, desalination coupling); (3) Infrastructure scale (CCUS hubs, shared pipelines, storage sites); and (4) Policy and finance (carbon pricing, investment incentives, international hydrogen certification alignment). Together, these levers can reduce CO₂ avoidance costs from USD 100+/</w:t>
      </w:r>
      <w:proofErr w:type="spellStart"/>
      <w:r w:rsidRPr="00113467">
        <w:rPr>
          <w:rFonts w:ascii="Times New Roman" w:eastAsia="Times New Roman" w:hAnsi="Times New Roman" w:cs="Times New Roman"/>
          <w:sz w:val="24"/>
          <w:szCs w:val="24"/>
        </w:rPr>
        <w:t>tonne</w:t>
      </w:r>
      <w:proofErr w:type="spellEnd"/>
      <w:r w:rsidRPr="00113467">
        <w:rPr>
          <w:rFonts w:ascii="Times New Roman" w:eastAsia="Times New Roman" w:hAnsi="Times New Roman" w:cs="Times New Roman"/>
          <w:sz w:val="24"/>
          <w:szCs w:val="24"/>
        </w:rPr>
        <w:t xml:space="preserve"> to USD 60/</w:t>
      </w:r>
      <w:proofErr w:type="spellStart"/>
      <w:r w:rsidRPr="00113467">
        <w:rPr>
          <w:rFonts w:ascii="Times New Roman" w:eastAsia="Times New Roman" w:hAnsi="Times New Roman" w:cs="Times New Roman"/>
          <w:sz w:val="24"/>
          <w:szCs w:val="24"/>
        </w:rPr>
        <w:t>tonne</w:t>
      </w:r>
      <w:proofErr w:type="spellEnd"/>
      <w:r w:rsidRPr="00113467">
        <w:rPr>
          <w:rFonts w:ascii="Times New Roman" w:eastAsia="Times New Roman" w:hAnsi="Times New Roman" w:cs="Times New Roman"/>
          <w:sz w:val="24"/>
          <w:szCs w:val="24"/>
        </w:rPr>
        <w:t xml:space="preserve"> or lower while cutting energy penalties from 10% to 2–4%.</w:t>
      </w:r>
    </w:p>
    <w:p w:rsidR="00113467" w:rsidRPr="00E618FF" w:rsidRDefault="00A32056" w:rsidP="00113467">
      <w:pPr>
        <w:spacing w:after="120"/>
        <w:jc w:val="both"/>
        <w:rPr>
          <w:rFonts w:ascii="Times New Roman" w:eastAsia="Times New Roman" w:hAnsi="Times New Roman" w:cs="Times New Roman"/>
          <w:b/>
          <w:sz w:val="24"/>
          <w:szCs w:val="24"/>
        </w:rPr>
      </w:pPr>
      <w:r w:rsidRPr="00E618FF">
        <w:rPr>
          <w:rFonts w:ascii="Times New Roman" w:eastAsia="Times New Roman" w:hAnsi="Times New Roman" w:cs="Times New Roman"/>
          <w:b/>
          <w:sz w:val="24"/>
          <w:szCs w:val="24"/>
        </w:rPr>
        <w:br/>
      </w:r>
      <w:r w:rsidR="00113467" w:rsidRPr="00E618FF">
        <w:rPr>
          <w:rFonts w:ascii="Times New Roman" w:eastAsia="Times New Roman" w:hAnsi="Times New Roman" w:cs="Times New Roman"/>
          <w:b/>
          <w:sz w:val="24"/>
          <w:szCs w:val="24"/>
        </w:rPr>
        <w:br/>
        <w:t>Table 1: Comparative Analysis of CO₂ Capture Technologies for Saudi NGCC Power Plants</w:t>
      </w:r>
    </w:p>
    <w:tbl>
      <w:tblPr>
        <w:tblW w:w="0" w:type="auto"/>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1165"/>
        <w:gridCol w:w="791"/>
        <w:gridCol w:w="1384"/>
        <w:gridCol w:w="1158"/>
        <w:gridCol w:w="1023"/>
        <w:gridCol w:w="1333"/>
        <w:gridCol w:w="1191"/>
        <w:gridCol w:w="1345"/>
      </w:tblGrid>
      <w:tr w:rsidR="00113467" w:rsidRPr="00113467" w:rsidTr="00113467">
        <w:trPr>
          <w:trHeight w:val="432"/>
        </w:trPr>
        <w:tc>
          <w:tcPr>
            <w:tcW w:w="1800" w:type="dxa"/>
            <w:tcBorders>
              <w:top w:val="single" w:sz="4" w:space="0" w:color="E0E0E0"/>
              <w:left w:val="single" w:sz="4" w:space="0" w:color="E0E0E0"/>
              <w:bottom w:val="single" w:sz="4" w:space="0" w:color="E0E0E0"/>
              <w:right w:val="single" w:sz="4" w:space="0" w:color="E0E0E0"/>
            </w:tcBorders>
            <w:hideMark/>
          </w:tcPr>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i/>
                <w:iCs/>
                <w:sz w:val="24"/>
                <w:szCs w:val="24"/>
              </w:rPr>
              <w:t>Technology</w:t>
            </w:r>
          </w:p>
        </w:tc>
        <w:tc>
          <w:tcPr>
            <w:tcW w:w="1800" w:type="dxa"/>
            <w:tcBorders>
              <w:top w:val="single" w:sz="4" w:space="0" w:color="E0E0E0"/>
              <w:left w:val="single" w:sz="4" w:space="0" w:color="E0E0E0"/>
              <w:bottom w:val="single" w:sz="4" w:space="0" w:color="E0E0E0"/>
              <w:right w:val="single" w:sz="4" w:space="0" w:color="E0E0E0"/>
            </w:tcBorders>
            <w:hideMark/>
          </w:tcPr>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i/>
                <w:iCs/>
                <w:sz w:val="24"/>
                <w:szCs w:val="24"/>
              </w:rPr>
              <w:t>Capture Rate (%)</w:t>
            </w:r>
          </w:p>
        </w:tc>
        <w:tc>
          <w:tcPr>
            <w:tcW w:w="1800" w:type="dxa"/>
            <w:tcBorders>
              <w:top w:val="single" w:sz="4" w:space="0" w:color="E0E0E0"/>
              <w:left w:val="single" w:sz="4" w:space="0" w:color="E0E0E0"/>
              <w:bottom w:val="single" w:sz="4" w:space="0" w:color="E0E0E0"/>
              <w:right w:val="single" w:sz="4" w:space="0" w:color="E0E0E0"/>
            </w:tcBorders>
            <w:hideMark/>
          </w:tcPr>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i/>
                <w:iCs/>
                <w:sz w:val="24"/>
                <w:szCs w:val="24"/>
              </w:rPr>
              <w:t>Energy Penalty (% points)</w:t>
            </w:r>
          </w:p>
        </w:tc>
        <w:tc>
          <w:tcPr>
            <w:tcW w:w="1800" w:type="dxa"/>
            <w:tcBorders>
              <w:top w:val="single" w:sz="4" w:space="0" w:color="E0E0E0"/>
              <w:left w:val="single" w:sz="4" w:space="0" w:color="E0E0E0"/>
              <w:bottom w:val="single" w:sz="4" w:space="0" w:color="E0E0E0"/>
              <w:right w:val="single" w:sz="4" w:space="0" w:color="E0E0E0"/>
            </w:tcBorders>
            <w:hideMark/>
          </w:tcPr>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i/>
                <w:iCs/>
                <w:sz w:val="24"/>
                <w:szCs w:val="24"/>
              </w:rPr>
              <w:t>CO₂ Avoidance Cost (USD/</w:t>
            </w:r>
            <w:proofErr w:type="spellStart"/>
            <w:r w:rsidRPr="00113467">
              <w:rPr>
                <w:rFonts w:ascii="Times New Roman" w:eastAsia="Times New Roman" w:hAnsi="Times New Roman" w:cs="Times New Roman"/>
                <w:i/>
                <w:iCs/>
                <w:sz w:val="24"/>
                <w:szCs w:val="24"/>
              </w:rPr>
              <w:t>tCO</w:t>
            </w:r>
            <w:proofErr w:type="spellEnd"/>
            <w:r w:rsidRPr="00113467">
              <w:rPr>
                <w:rFonts w:ascii="Times New Roman" w:eastAsia="Times New Roman" w:hAnsi="Times New Roman" w:cs="Times New Roman"/>
                <w:i/>
                <w:iCs/>
                <w:sz w:val="24"/>
                <w:szCs w:val="24"/>
              </w:rPr>
              <w:t>₂)</w:t>
            </w:r>
          </w:p>
        </w:tc>
        <w:tc>
          <w:tcPr>
            <w:tcW w:w="1800" w:type="dxa"/>
            <w:tcBorders>
              <w:top w:val="single" w:sz="4" w:space="0" w:color="E0E0E0"/>
              <w:left w:val="single" w:sz="4" w:space="0" w:color="E0E0E0"/>
              <w:bottom w:val="single" w:sz="4" w:space="0" w:color="E0E0E0"/>
              <w:right w:val="single" w:sz="4" w:space="0" w:color="E0E0E0"/>
            </w:tcBorders>
            <w:hideMark/>
          </w:tcPr>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i/>
                <w:iCs/>
                <w:sz w:val="24"/>
                <w:szCs w:val="24"/>
              </w:rPr>
              <w:t>Retrofit Feasibility</w:t>
            </w:r>
          </w:p>
        </w:tc>
        <w:tc>
          <w:tcPr>
            <w:tcW w:w="1800" w:type="dxa"/>
            <w:tcBorders>
              <w:top w:val="single" w:sz="4" w:space="0" w:color="E0E0E0"/>
              <w:left w:val="single" w:sz="4" w:space="0" w:color="E0E0E0"/>
              <w:bottom w:val="single" w:sz="4" w:space="0" w:color="E0E0E0"/>
              <w:right w:val="single" w:sz="4" w:space="0" w:color="E0E0E0"/>
            </w:tcBorders>
            <w:hideMark/>
          </w:tcPr>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i/>
                <w:iCs/>
                <w:sz w:val="24"/>
                <w:szCs w:val="24"/>
              </w:rPr>
              <w:t>Technology Readiness Level (TRL)</w:t>
            </w:r>
          </w:p>
        </w:tc>
        <w:tc>
          <w:tcPr>
            <w:tcW w:w="1800" w:type="dxa"/>
            <w:tcBorders>
              <w:top w:val="single" w:sz="4" w:space="0" w:color="E0E0E0"/>
              <w:left w:val="single" w:sz="4" w:space="0" w:color="E0E0E0"/>
              <w:bottom w:val="single" w:sz="4" w:space="0" w:color="E0E0E0"/>
              <w:right w:val="single" w:sz="4" w:space="0" w:color="E0E0E0"/>
            </w:tcBorders>
            <w:hideMark/>
          </w:tcPr>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i/>
                <w:iCs/>
                <w:sz w:val="24"/>
                <w:szCs w:val="24"/>
              </w:rPr>
              <w:t>Key Advantages</w:t>
            </w:r>
          </w:p>
        </w:tc>
        <w:tc>
          <w:tcPr>
            <w:tcW w:w="1800" w:type="dxa"/>
            <w:tcBorders>
              <w:top w:val="single" w:sz="4" w:space="0" w:color="E0E0E0"/>
              <w:left w:val="single" w:sz="4" w:space="0" w:color="E0E0E0"/>
              <w:bottom w:val="single" w:sz="4" w:space="0" w:color="E0E0E0"/>
              <w:right w:val="single" w:sz="4" w:space="0" w:color="E0E0E0"/>
            </w:tcBorders>
            <w:hideMark/>
          </w:tcPr>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i/>
                <w:iCs/>
                <w:sz w:val="24"/>
                <w:szCs w:val="24"/>
              </w:rPr>
              <w:t>Key Challenges</w:t>
            </w:r>
          </w:p>
        </w:tc>
      </w:tr>
      <w:tr w:rsidR="00113467" w:rsidRPr="00113467" w:rsidTr="00113467">
        <w:trPr>
          <w:trHeight w:val="432"/>
        </w:trPr>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xml:space="preserve">Post-combustion </w:t>
            </w:r>
            <w:r w:rsidRPr="00113467">
              <w:rPr>
                <w:rFonts w:ascii="Times New Roman" w:eastAsia="Times New Roman" w:hAnsi="Times New Roman" w:cs="Times New Roman"/>
                <w:sz w:val="24"/>
                <w:szCs w:val="24"/>
              </w:rPr>
              <w:lastRenderedPageBreak/>
              <w:t>(Amine)</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lastRenderedPageBreak/>
              <w:t>85–90</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7–10</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80–100</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High</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8–9 (Commercial</w:t>
            </w:r>
            <w:r w:rsidRPr="00113467">
              <w:rPr>
                <w:rFonts w:ascii="Times New Roman" w:eastAsia="Times New Roman" w:hAnsi="Times New Roman" w:cs="Times New Roman"/>
                <w:sz w:val="24"/>
                <w:szCs w:val="24"/>
              </w:rPr>
              <w:lastRenderedPageBreak/>
              <w:t>)</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lastRenderedPageBreak/>
              <w:t xml:space="preserve">Mature technology; </w:t>
            </w:r>
            <w:r w:rsidRPr="00113467">
              <w:rPr>
                <w:rFonts w:ascii="Times New Roman" w:eastAsia="Times New Roman" w:hAnsi="Times New Roman" w:cs="Times New Roman"/>
                <w:sz w:val="24"/>
                <w:szCs w:val="24"/>
              </w:rPr>
              <w:lastRenderedPageBreak/>
              <w:t>wide deployment</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lastRenderedPageBreak/>
              <w:t xml:space="preserve">High energy penalty; </w:t>
            </w:r>
            <w:r w:rsidRPr="00113467">
              <w:rPr>
                <w:rFonts w:ascii="Times New Roman" w:eastAsia="Times New Roman" w:hAnsi="Times New Roman" w:cs="Times New Roman"/>
                <w:sz w:val="24"/>
                <w:szCs w:val="24"/>
              </w:rPr>
              <w:lastRenderedPageBreak/>
              <w:t>solvent degradation</w:t>
            </w:r>
          </w:p>
        </w:tc>
      </w:tr>
      <w:tr w:rsidR="00113467" w:rsidRPr="00113467" w:rsidTr="00113467">
        <w:trPr>
          <w:trHeight w:val="432"/>
        </w:trPr>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lastRenderedPageBreak/>
              <w:t>Advanced solvents (Biphasic)</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90–95</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5–7</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70–90</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High</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6–7 (Pilot/Demo)</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Lower regeneration energy; reduced corrosion</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Limited commercial scale; R&amp;D needed</w:t>
            </w:r>
          </w:p>
        </w:tc>
      </w:tr>
      <w:tr w:rsidR="00113467" w:rsidRPr="00113467" w:rsidTr="00113467">
        <w:trPr>
          <w:trHeight w:val="432"/>
        </w:trPr>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Chemical Looping (CLC)</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95–98</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11 (conventional)</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94–117</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Medium</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5–6 (Pilot)</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High purity CO₂; inherent separation</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Complex integration; higher base cost</w:t>
            </w:r>
          </w:p>
        </w:tc>
      </w:tr>
      <w:tr w:rsidR="00113467" w:rsidRPr="00113467" w:rsidTr="00113467">
        <w:trPr>
          <w:trHeight w:val="432"/>
        </w:trPr>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Hybrid CLC-NGCC</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95–98</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1–4</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60–80</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Medium</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5–6 (Pilot)</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Very low energy penalty; cost-competitive</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Requires advanced turbine integration</w:t>
            </w:r>
          </w:p>
        </w:tc>
      </w:tr>
      <w:tr w:rsidR="00113467" w:rsidRPr="00113467" w:rsidTr="00113467">
        <w:trPr>
          <w:trHeight w:val="432"/>
        </w:trPr>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proofErr w:type="spellStart"/>
            <w:r w:rsidRPr="00113467">
              <w:rPr>
                <w:rFonts w:ascii="Times New Roman" w:eastAsia="Times New Roman" w:hAnsi="Times New Roman" w:cs="Times New Roman"/>
                <w:sz w:val="24"/>
                <w:szCs w:val="24"/>
              </w:rPr>
              <w:t>Allam-Fetvedt</w:t>
            </w:r>
            <w:proofErr w:type="spellEnd"/>
            <w:r w:rsidRPr="00113467">
              <w:rPr>
                <w:rFonts w:ascii="Times New Roman" w:eastAsia="Times New Roman" w:hAnsi="Times New Roman" w:cs="Times New Roman"/>
                <w:sz w:val="24"/>
                <w:szCs w:val="24"/>
              </w:rPr>
              <w:t xml:space="preserve"> Cycle</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98–100</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~0 (integrated)</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50–70 (projected)</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Low (new build)</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7 (Demo 50 MW)</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Near-zero penalty; supercritical CO₂ cycle</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New infrastructure; unproven at scale</w:t>
            </w:r>
          </w:p>
        </w:tc>
      </w:tr>
      <w:tr w:rsidR="00113467" w:rsidRPr="00113467" w:rsidTr="00113467">
        <w:trPr>
          <w:trHeight w:val="432"/>
        </w:trPr>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proofErr w:type="spellStart"/>
            <w:r w:rsidRPr="00113467">
              <w:rPr>
                <w:rFonts w:ascii="Times New Roman" w:eastAsia="Times New Roman" w:hAnsi="Times New Roman" w:cs="Times New Roman"/>
                <w:sz w:val="24"/>
                <w:szCs w:val="24"/>
              </w:rPr>
              <w:t>Oxyfuel</w:t>
            </w:r>
            <w:proofErr w:type="spellEnd"/>
            <w:r w:rsidRPr="00113467">
              <w:rPr>
                <w:rFonts w:ascii="Times New Roman" w:eastAsia="Times New Roman" w:hAnsi="Times New Roman" w:cs="Times New Roman"/>
                <w:sz w:val="24"/>
                <w:szCs w:val="24"/>
              </w:rPr>
              <w:t xml:space="preserve"> Combustion</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95–100</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8–12 (ASU penalty)</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90–120</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Low</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6–7 (Pilot)</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High purity CO₂ stream</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Air separation unit cost; complexity</w:t>
            </w:r>
          </w:p>
        </w:tc>
      </w:tr>
    </w:tbl>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xml:space="preserve">Table Caption: This table compares six CO₂ capture technology options applicable to Saudi Arabia’s natural gas combined-cycle (NGCC) power plants. Key metrics include capture rate, energy penalty (reduction in net plant efficiency), CO₂ avoidance cost, retrofit feasibility for existing plants, and technology readiness level (TRL). Post-combustion amine capture is the most mature and easily retrofitted, but incurs high energy penalties. Advanced solvents and hybrid chemical looping offer improved performance with moderate development risk. The </w:t>
      </w:r>
      <w:proofErr w:type="spellStart"/>
      <w:r w:rsidRPr="00113467">
        <w:rPr>
          <w:rFonts w:ascii="Times New Roman" w:eastAsia="Times New Roman" w:hAnsi="Times New Roman" w:cs="Times New Roman"/>
          <w:sz w:val="24"/>
          <w:szCs w:val="24"/>
        </w:rPr>
        <w:t>Allam-Fetvedt</w:t>
      </w:r>
      <w:proofErr w:type="spellEnd"/>
      <w:r w:rsidRPr="00113467">
        <w:rPr>
          <w:rFonts w:ascii="Times New Roman" w:eastAsia="Times New Roman" w:hAnsi="Times New Roman" w:cs="Times New Roman"/>
          <w:sz w:val="24"/>
          <w:szCs w:val="24"/>
        </w:rPr>
        <w:t xml:space="preserve"> cycle shows promise for new builds with near-zero energy </w:t>
      </w:r>
      <w:proofErr w:type="gramStart"/>
      <w:r w:rsidRPr="00113467">
        <w:rPr>
          <w:rFonts w:ascii="Times New Roman" w:eastAsia="Times New Roman" w:hAnsi="Times New Roman" w:cs="Times New Roman"/>
          <w:sz w:val="24"/>
          <w:szCs w:val="24"/>
        </w:rPr>
        <w:t>penalty</w:t>
      </w:r>
      <w:proofErr w:type="gramEnd"/>
      <w:r w:rsidRPr="00113467">
        <w:rPr>
          <w:rFonts w:ascii="Times New Roman" w:eastAsia="Times New Roman" w:hAnsi="Times New Roman" w:cs="Times New Roman"/>
          <w:sz w:val="24"/>
          <w:szCs w:val="24"/>
        </w:rPr>
        <w:t xml:space="preserve"> but requires </w:t>
      </w:r>
      <w:proofErr w:type="spellStart"/>
      <w:r w:rsidRPr="00113467">
        <w:rPr>
          <w:rFonts w:ascii="Times New Roman" w:eastAsia="Times New Roman" w:hAnsi="Times New Roman" w:cs="Times New Roman"/>
          <w:sz w:val="24"/>
          <w:szCs w:val="24"/>
        </w:rPr>
        <w:t>greenfield</w:t>
      </w:r>
      <w:proofErr w:type="spellEnd"/>
      <w:r w:rsidRPr="00113467">
        <w:rPr>
          <w:rFonts w:ascii="Times New Roman" w:eastAsia="Times New Roman" w:hAnsi="Times New Roman" w:cs="Times New Roman"/>
          <w:sz w:val="24"/>
          <w:szCs w:val="24"/>
        </w:rPr>
        <w:t xml:space="preserve"> investment. Data synthesized from IEA (2021), Rubin et al. (2023), Zhao et al. (2023), and NET Power (2023).</w:t>
      </w:r>
    </w:p>
    <w:p w:rsidR="00113467" w:rsidRPr="00E618FF" w:rsidRDefault="00113467" w:rsidP="00113467">
      <w:pPr>
        <w:spacing w:after="120"/>
        <w:jc w:val="both"/>
        <w:rPr>
          <w:rFonts w:ascii="Times New Roman" w:eastAsia="Times New Roman" w:hAnsi="Times New Roman" w:cs="Times New Roman"/>
          <w:b/>
          <w:sz w:val="24"/>
          <w:szCs w:val="24"/>
        </w:rPr>
      </w:pPr>
      <w:r w:rsidRPr="00E618FF">
        <w:rPr>
          <w:rFonts w:ascii="Times New Roman" w:eastAsia="Times New Roman" w:hAnsi="Times New Roman" w:cs="Times New Roman"/>
          <w:b/>
          <w:sz w:val="24"/>
          <w:szCs w:val="24"/>
        </w:rPr>
        <w:t>Table 2: Saudi Arabia’s Hydrogen and CCUS Project Portfolio (2024–2030)</w:t>
      </w:r>
    </w:p>
    <w:tbl>
      <w:tblPr>
        <w:tblW w:w="0" w:type="auto"/>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1663"/>
        <w:gridCol w:w="1082"/>
        <w:gridCol w:w="819"/>
        <w:gridCol w:w="1345"/>
        <w:gridCol w:w="1345"/>
        <w:gridCol w:w="961"/>
        <w:gridCol w:w="1027"/>
        <w:gridCol w:w="1148"/>
      </w:tblGrid>
      <w:tr w:rsidR="00113467" w:rsidRPr="00113467" w:rsidTr="00113467">
        <w:trPr>
          <w:trHeight w:val="432"/>
        </w:trPr>
        <w:tc>
          <w:tcPr>
            <w:tcW w:w="1800" w:type="dxa"/>
            <w:tcBorders>
              <w:top w:val="single" w:sz="4" w:space="0" w:color="E0E0E0"/>
              <w:left w:val="single" w:sz="4" w:space="0" w:color="E0E0E0"/>
              <w:bottom w:val="single" w:sz="4" w:space="0" w:color="E0E0E0"/>
              <w:right w:val="single" w:sz="4" w:space="0" w:color="E0E0E0"/>
            </w:tcBorders>
            <w:hideMark/>
          </w:tcPr>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i/>
                <w:iCs/>
                <w:sz w:val="24"/>
                <w:szCs w:val="24"/>
              </w:rPr>
              <w:t>Project Name</w:t>
            </w:r>
          </w:p>
        </w:tc>
        <w:tc>
          <w:tcPr>
            <w:tcW w:w="1800" w:type="dxa"/>
            <w:tcBorders>
              <w:top w:val="single" w:sz="4" w:space="0" w:color="E0E0E0"/>
              <w:left w:val="single" w:sz="4" w:space="0" w:color="E0E0E0"/>
              <w:bottom w:val="single" w:sz="4" w:space="0" w:color="E0E0E0"/>
              <w:right w:val="single" w:sz="4" w:space="0" w:color="E0E0E0"/>
            </w:tcBorders>
            <w:hideMark/>
          </w:tcPr>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i/>
                <w:iCs/>
                <w:sz w:val="24"/>
                <w:szCs w:val="24"/>
              </w:rPr>
              <w:t>Location</w:t>
            </w:r>
          </w:p>
        </w:tc>
        <w:tc>
          <w:tcPr>
            <w:tcW w:w="1800" w:type="dxa"/>
            <w:tcBorders>
              <w:top w:val="single" w:sz="4" w:space="0" w:color="E0E0E0"/>
              <w:left w:val="single" w:sz="4" w:space="0" w:color="E0E0E0"/>
              <w:bottom w:val="single" w:sz="4" w:space="0" w:color="E0E0E0"/>
              <w:right w:val="single" w:sz="4" w:space="0" w:color="E0E0E0"/>
            </w:tcBorders>
            <w:hideMark/>
          </w:tcPr>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i/>
                <w:iCs/>
                <w:sz w:val="24"/>
                <w:szCs w:val="24"/>
              </w:rPr>
              <w:t>Type</w:t>
            </w:r>
          </w:p>
        </w:tc>
        <w:tc>
          <w:tcPr>
            <w:tcW w:w="1800" w:type="dxa"/>
            <w:tcBorders>
              <w:top w:val="single" w:sz="4" w:space="0" w:color="E0E0E0"/>
              <w:left w:val="single" w:sz="4" w:space="0" w:color="E0E0E0"/>
              <w:bottom w:val="single" w:sz="4" w:space="0" w:color="E0E0E0"/>
              <w:right w:val="single" w:sz="4" w:space="0" w:color="E0E0E0"/>
            </w:tcBorders>
            <w:hideMark/>
          </w:tcPr>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i/>
                <w:iCs/>
                <w:sz w:val="24"/>
                <w:szCs w:val="24"/>
              </w:rPr>
              <w:t>Capacity/Output</w:t>
            </w:r>
          </w:p>
        </w:tc>
        <w:tc>
          <w:tcPr>
            <w:tcW w:w="1800" w:type="dxa"/>
            <w:tcBorders>
              <w:top w:val="single" w:sz="4" w:space="0" w:color="E0E0E0"/>
              <w:left w:val="single" w:sz="4" w:space="0" w:color="E0E0E0"/>
              <w:bottom w:val="single" w:sz="4" w:space="0" w:color="E0E0E0"/>
              <w:right w:val="single" w:sz="4" w:space="0" w:color="E0E0E0"/>
            </w:tcBorders>
            <w:hideMark/>
          </w:tcPr>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i/>
                <w:iCs/>
                <w:sz w:val="24"/>
                <w:szCs w:val="24"/>
              </w:rPr>
              <w:t>CO₂ Capture/Storage (</w:t>
            </w:r>
            <w:proofErr w:type="spellStart"/>
            <w:r w:rsidRPr="00113467">
              <w:rPr>
                <w:rFonts w:ascii="Times New Roman" w:eastAsia="Times New Roman" w:hAnsi="Times New Roman" w:cs="Times New Roman"/>
                <w:i/>
                <w:iCs/>
                <w:sz w:val="24"/>
                <w:szCs w:val="24"/>
              </w:rPr>
              <w:t>MtCO</w:t>
            </w:r>
            <w:proofErr w:type="spellEnd"/>
            <w:r w:rsidRPr="00113467">
              <w:rPr>
                <w:rFonts w:ascii="Times New Roman" w:eastAsia="Times New Roman" w:hAnsi="Times New Roman" w:cs="Times New Roman"/>
                <w:i/>
                <w:iCs/>
                <w:sz w:val="24"/>
                <w:szCs w:val="24"/>
              </w:rPr>
              <w:t>₂/year</w:t>
            </w:r>
            <w:r w:rsidRPr="00113467">
              <w:rPr>
                <w:rFonts w:ascii="Times New Roman" w:eastAsia="Times New Roman" w:hAnsi="Times New Roman" w:cs="Times New Roman"/>
                <w:i/>
                <w:iCs/>
                <w:sz w:val="24"/>
                <w:szCs w:val="24"/>
              </w:rPr>
              <w:lastRenderedPageBreak/>
              <w:t>)</w:t>
            </w:r>
          </w:p>
        </w:tc>
        <w:tc>
          <w:tcPr>
            <w:tcW w:w="1800" w:type="dxa"/>
            <w:tcBorders>
              <w:top w:val="single" w:sz="4" w:space="0" w:color="E0E0E0"/>
              <w:left w:val="single" w:sz="4" w:space="0" w:color="E0E0E0"/>
              <w:bottom w:val="single" w:sz="4" w:space="0" w:color="E0E0E0"/>
              <w:right w:val="single" w:sz="4" w:space="0" w:color="E0E0E0"/>
            </w:tcBorders>
            <w:hideMark/>
          </w:tcPr>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i/>
                <w:iCs/>
                <w:sz w:val="24"/>
                <w:szCs w:val="24"/>
              </w:rPr>
              <w:lastRenderedPageBreak/>
              <w:t>Expected Online</w:t>
            </w:r>
          </w:p>
        </w:tc>
        <w:tc>
          <w:tcPr>
            <w:tcW w:w="1800" w:type="dxa"/>
            <w:tcBorders>
              <w:top w:val="single" w:sz="4" w:space="0" w:color="E0E0E0"/>
              <w:left w:val="single" w:sz="4" w:space="0" w:color="E0E0E0"/>
              <w:bottom w:val="single" w:sz="4" w:space="0" w:color="E0E0E0"/>
              <w:right w:val="single" w:sz="4" w:space="0" w:color="E0E0E0"/>
            </w:tcBorders>
            <w:hideMark/>
          </w:tcPr>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i/>
                <w:iCs/>
                <w:sz w:val="24"/>
                <w:szCs w:val="24"/>
              </w:rPr>
              <w:t>Key Partners</w:t>
            </w:r>
          </w:p>
        </w:tc>
        <w:tc>
          <w:tcPr>
            <w:tcW w:w="1800" w:type="dxa"/>
            <w:tcBorders>
              <w:top w:val="single" w:sz="4" w:space="0" w:color="E0E0E0"/>
              <w:left w:val="single" w:sz="4" w:space="0" w:color="E0E0E0"/>
              <w:bottom w:val="single" w:sz="4" w:space="0" w:color="E0E0E0"/>
              <w:right w:val="single" w:sz="4" w:space="0" w:color="E0E0E0"/>
            </w:tcBorders>
            <w:hideMark/>
          </w:tcPr>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i/>
                <w:iCs/>
                <w:sz w:val="24"/>
                <w:szCs w:val="24"/>
              </w:rPr>
              <w:t>Strategic Role</w:t>
            </w:r>
          </w:p>
        </w:tc>
      </w:tr>
      <w:tr w:rsidR="00113467" w:rsidRPr="00113467" w:rsidTr="00113467">
        <w:trPr>
          <w:trHeight w:val="432"/>
        </w:trPr>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lastRenderedPageBreak/>
              <w:t>NEOM Green Hydrogen (NGHC)</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NEOM (</w:t>
            </w:r>
            <w:proofErr w:type="spellStart"/>
            <w:r w:rsidRPr="00113467">
              <w:rPr>
                <w:rFonts w:ascii="Times New Roman" w:eastAsia="Times New Roman" w:hAnsi="Times New Roman" w:cs="Times New Roman"/>
                <w:sz w:val="24"/>
                <w:szCs w:val="24"/>
              </w:rPr>
              <w:t>Oxagon</w:t>
            </w:r>
            <w:proofErr w:type="spellEnd"/>
            <w:r w:rsidRPr="00113467">
              <w:rPr>
                <w:rFonts w:ascii="Times New Roman" w:eastAsia="Times New Roman" w:hAnsi="Times New Roman" w:cs="Times New Roman"/>
                <w:sz w:val="24"/>
                <w:szCs w:val="24"/>
              </w:rPr>
              <w:t>)</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Green H₂ + Ammonia</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600 t/day H₂; 1.2 Mt/year NH₃</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0 (</w:t>
            </w:r>
            <w:proofErr w:type="spellStart"/>
            <w:r w:rsidRPr="00113467">
              <w:rPr>
                <w:rFonts w:ascii="Times New Roman" w:eastAsia="Times New Roman" w:hAnsi="Times New Roman" w:cs="Times New Roman"/>
                <w:sz w:val="24"/>
                <w:szCs w:val="24"/>
              </w:rPr>
              <w:t>renewables</w:t>
            </w:r>
            <w:proofErr w:type="spellEnd"/>
            <w:r w:rsidRPr="00113467">
              <w:rPr>
                <w:rFonts w:ascii="Times New Roman" w:eastAsia="Times New Roman" w:hAnsi="Times New Roman" w:cs="Times New Roman"/>
                <w:sz w:val="24"/>
                <w:szCs w:val="24"/>
              </w:rPr>
              <w:t xml:space="preserve"> only)</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2026–2027</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ACWA Power, Air Products, NEOM</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Flagship green hydrogen export; zero direct emissions</w:t>
            </w:r>
          </w:p>
        </w:tc>
      </w:tr>
      <w:tr w:rsidR="00113467" w:rsidRPr="00113467" w:rsidTr="00113467">
        <w:trPr>
          <w:trHeight w:val="432"/>
        </w:trPr>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proofErr w:type="spellStart"/>
            <w:r w:rsidRPr="00113467">
              <w:rPr>
                <w:rFonts w:ascii="Times New Roman" w:eastAsia="Times New Roman" w:hAnsi="Times New Roman" w:cs="Times New Roman"/>
                <w:sz w:val="24"/>
                <w:szCs w:val="24"/>
              </w:rPr>
              <w:t>Yanbu</w:t>
            </w:r>
            <w:proofErr w:type="spellEnd"/>
            <w:r w:rsidRPr="00113467">
              <w:rPr>
                <w:rFonts w:ascii="Times New Roman" w:eastAsia="Times New Roman" w:hAnsi="Times New Roman" w:cs="Times New Roman"/>
                <w:sz w:val="24"/>
                <w:szCs w:val="24"/>
              </w:rPr>
              <w:t xml:space="preserve"> Green H₂ &amp; Ammonia Complex</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proofErr w:type="spellStart"/>
            <w:r w:rsidRPr="00113467">
              <w:rPr>
                <w:rFonts w:ascii="Times New Roman" w:eastAsia="Times New Roman" w:hAnsi="Times New Roman" w:cs="Times New Roman"/>
                <w:sz w:val="24"/>
                <w:szCs w:val="24"/>
              </w:rPr>
              <w:t>Yanbu</w:t>
            </w:r>
            <w:proofErr w:type="spellEnd"/>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Green H₂ + Ammonia</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400,000 t/year H₂; 2.8 Mt/year NH₃</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0 (</w:t>
            </w:r>
            <w:proofErr w:type="spellStart"/>
            <w:r w:rsidRPr="00113467">
              <w:rPr>
                <w:rFonts w:ascii="Times New Roman" w:eastAsia="Times New Roman" w:hAnsi="Times New Roman" w:cs="Times New Roman"/>
                <w:sz w:val="24"/>
                <w:szCs w:val="24"/>
              </w:rPr>
              <w:t>renewables</w:t>
            </w:r>
            <w:proofErr w:type="spellEnd"/>
            <w:r w:rsidRPr="00113467">
              <w:rPr>
                <w:rFonts w:ascii="Times New Roman" w:eastAsia="Times New Roman" w:hAnsi="Times New Roman" w:cs="Times New Roman"/>
                <w:sz w:val="24"/>
                <w:szCs w:val="24"/>
              </w:rPr>
              <w:t xml:space="preserve"> only)</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2030</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ACWA Power, Sinopec</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Large-scale green hydrogen for export to Asia/Europe</w:t>
            </w:r>
          </w:p>
        </w:tc>
      </w:tr>
      <w:tr w:rsidR="00113467" w:rsidRPr="00113467" w:rsidTr="00113467">
        <w:trPr>
          <w:trHeight w:val="432"/>
        </w:trPr>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proofErr w:type="spellStart"/>
            <w:r w:rsidRPr="00113467">
              <w:rPr>
                <w:rFonts w:ascii="Times New Roman" w:eastAsia="Times New Roman" w:hAnsi="Times New Roman" w:cs="Times New Roman"/>
                <w:sz w:val="24"/>
                <w:szCs w:val="24"/>
              </w:rPr>
              <w:t>Hawiyah</w:t>
            </w:r>
            <w:proofErr w:type="spellEnd"/>
            <w:r w:rsidRPr="00113467">
              <w:rPr>
                <w:rFonts w:ascii="Times New Roman" w:eastAsia="Times New Roman" w:hAnsi="Times New Roman" w:cs="Times New Roman"/>
                <w:sz w:val="24"/>
                <w:szCs w:val="24"/>
              </w:rPr>
              <w:t xml:space="preserve"> NGL CO₂ Capture (existing)</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Eastern Province</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CCS (NGL plant)</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n/a (gas processing)</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xml:space="preserve">~0.8 (to </w:t>
            </w:r>
            <w:proofErr w:type="spellStart"/>
            <w:r w:rsidRPr="00113467">
              <w:rPr>
                <w:rFonts w:ascii="Times New Roman" w:eastAsia="Times New Roman" w:hAnsi="Times New Roman" w:cs="Times New Roman"/>
                <w:sz w:val="24"/>
                <w:szCs w:val="24"/>
              </w:rPr>
              <w:t>Uthmaniyah</w:t>
            </w:r>
            <w:proofErr w:type="spellEnd"/>
            <w:r w:rsidRPr="00113467">
              <w:rPr>
                <w:rFonts w:ascii="Times New Roman" w:eastAsia="Times New Roman" w:hAnsi="Times New Roman" w:cs="Times New Roman"/>
                <w:sz w:val="24"/>
                <w:szCs w:val="24"/>
              </w:rPr>
              <w:t xml:space="preserve"> EOR)</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Operational (2015)</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xml:space="preserve">Saudi </w:t>
            </w:r>
            <w:proofErr w:type="spellStart"/>
            <w:r w:rsidRPr="00113467">
              <w:rPr>
                <w:rFonts w:ascii="Times New Roman" w:eastAsia="Times New Roman" w:hAnsi="Times New Roman" w:cs="Times New Roman"/>
                <w:sz w:val="24"/>
                <w:szCs w:val="24"/>
              </w:rPr>
              <w:t>Aramco</w:t>
            </w:r>
            <w:proofErr w:type="spellEnd"/>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Demonstrate CO₂-EOR; long-term geological storage</w:t>
            </w:r>
          </w:p>
        </w:tc>
      </w:tr>
      <w:tr w:rsidR="00113467" w:rsidRPr="00113467" w:rsidTr="00113467">
        <w:trPr>
          <w:trHeight w:val="432"/>
        </w:trPr>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proofErr w:type="spellStart"/>
            <w:r w:rsidRPr="00113467">
              <w:rPr>
                <w:rFonts w:ascii="Times New Roman" w:eastAsia="Times New Roman" w:hAnsi="Times New Roman" w:cs="Times New Roman"/>
                <w:sz w:val="24"/>
                <w:szCs w:val="24"/>
              </w:rPr>
              <w:t>Jubail</w:t>
            </w:r>
            <w:proofErr w:type="spellEnd"/>
            <w:r w:rsidRPr="00113467">
              <w:rPr>
                <w:rFonts w:ascii="Times New Roman" w:eastAsia="Times New Roman" w:hAnsi="Times New Roman" w:cs="Times New Roman"/>
                <w:sz w:val="24"/>
                <w:szCs w:val="24"/>
              </w:rPr>
              <w:t xml:space="preserve"> CCUS Hub</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proofErr w:type="spellStart"/>
            <w:r w:rsidRPr="00113467">
              <w:rPr>
                <w:rFonts w:ascii="Times New Roman" w:eastAsia="Times New Roman" w:hAnsi="Times New Roman" w:cs="Times New Roman"/>
                <w:sz w:val="24"/>
                <w:szCs w:val="24"/>
              </w:rPr>
              <w:t>Jubail</w:t>
            </w:r>
            <w:proofErr w:type="spellEnd"/>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Industrial CCS hub</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Multi-source aggregation</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Up to 9 by 2027–2028</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2027–2028</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xml:space="preserve">Saudi </w:t>
            </w:r>
            <w:proofErr w:type="spellStart"/>
            <w:r w:rsidRPr="00113467">
              <w:rPr>
                <w:rFonts w:ascii="Times New Roman" w:eastAsia="Times New Roman" w:hAnsi="Times New Roman" w:cs="Times New Roman"/>
                <w:sz w:val="24"/>
                <w:szCs w:val="24"/>
              </w:rPr>
              <w:t>Aramco</w:t>
            </w:r>
            <w:proofErr w:type="spellEnd"/>
            <w:r w:rsidRPr="00113467">
              <w:rPr>
                <w:rFonts w:ascii="Times New Roman" w:eastAsia="Times New Roman" w:hAnsi="Times New Roman" w:cs="Times New Roman"/>
                <w:sz w:val="24"/>
                <w:szCs w:val="24"/>
              </w:rPr>
              <w:t xml:space="preserve">, SLB, </w:t>
            </w:r>
            <w:proofErr w:type="spellStart"/>
            <w:r w:rsidRPr="00113467">
              <w:rPr>
                <w:rFonts w:ascii="Times New Roman" w:eastAsia="Times New Roman" w:hAnsi="Times New Roman" w:cs="Times New Roman"/>
                <w:sz w:val="24"/>
                <w:szCs w:val="24"/>
              </w:rPr>
              <w:t>Linde</w:t>
            </w:r>
            <w:proofErr w:type="spellEnd"/>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Economies of scale; shared infrastructure; blue H₂</w:t>
            </w:r>
          </w:p>
        </w:tc>
      </w:tr>
      <w:tr w:rsidR="00113467" w:rsidRPr="00113467" w:rsidTr="00113467">
        <w:trPr>
          <w:trHeight w:val="432"/>
        </w:trPr>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proofErr w:type="spellStart"/>
            <w:r w:rsidRPr="00113467">
              <w:rPr>
                <w:rFonts w:ascii="Times New Roman" w:eastAsia="Times New Roman" w:hAnsi="Times New Roman" w:cs="Times New Roman"/>
                <w:sz w:val="24"/>
                <w:szCs w:val="24"/>
              </w:rPr>
              <w:t>Aramco</w:t>
            </w:r>
            <w:proofErr w:type="spellEnd"/>
            <w:r w:rsidRPr="00113467">
              <w:rPr>
                <w:rFonts w:ascii="Times New Roman" w:eastAsia="Times New Roman" w:hAnsi="Times New Roman" w:cs="Times New Roman"/>
                <w:sz w:val="24"/>
                <w:szCs w:val="24"/>
              </w:rPr>
              <w:t xml:space="preserve"> DAC Pilot</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Eastern Province</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Direct Air Capture</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12 t/year (pilot); 1,250 t/year (scale-up)</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0.001–0.00125 (pilot/scale-up)</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Pilot operational</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xml:space="preserve">Saudi </w:t>
            </w:r>
            <w:proofErr w:type="spellStart"/>
            <w:r w:rsidRPr="00113467">
              <w:rPr>
                <w:rFonts w:ascii="Times New Roman" w:eastAsia="Times New Roman" w:hAnsi="Times New Roman" w:cs="Times New Roman"/>
                <w:sz w:val="24"/>
                <w:szCs w:val="24"/>
              </w:rPr>
              <w:t>Aramco</w:t>
            </w:r>
            <w:proofErr w:type="spellEnd"/>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R&amp;D for negative emissions; synthetic fuel feedstock</w:t>
            </w:r>
          </w:p>
        </w:tc>
      </w:tr>
      <w:tr w:rsidR="00113467" w:rsidRPr="00113467" w:rsidTr="00113467">
        <w:trPr>
          <w:trHeight w:val="432"/>
        </w:trPr>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Blue Hydrogen/Ammonia (planned)</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proofErr w:type="spellStart"/>
            <w:r w:rsidRPr="00113467">
              <w:rPr>
                <w:rFonts w:ascii="Times New Roman" w:eastAsia="Times New Roman" w:hAnsi="Times New Roman" w:cs="Times New Roman"/>
                <w:sz w:val="24"/>
                <w:szCs w:val="24"/>
              </w:rPr>
              <w:t>Jubail</w:t>
            </w:r>
            <w:proofErr w:type="spellEnd"/>
            <w:r w:rsidRPr="00113467">
              <w:rPr>
                <w:rFonts w:ascii="Times New Roman" w:eastAsia="Times New Roman" w:hAnsi="Times New Roman" w:cs="Times New Roman"/>
                <w:sz w:val="24"/>
                <w:szCs w:val="24"/>
              </w:rPr>
              <w:t>/</w:t>
            </w:r>
            <w:proofErr w:type="spellStart"/>
            <w:r w:rsidRPr="00113467">
              <w:rPr>
                <w:rFonts w:ascii="Times New Roman" w:eastAsia="Times New Roman" w:hAnsi="Times New Roman" w:cs="Times New Roman"/>
                <w:sz w:val="24"/>
                <w:szCs w:val="24"/>
              </w:rPr>
              <w:t>Yanbu</w:t>
            </w:r>
            <w:proofErr w:type="spellEnd"/>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Blue H₂ with CCS</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To be determined</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To be determined</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Post-2027</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xml:space="preserve">Saudi </w:t>
            </w:r>
            <w:proofErr w:type="spellStart"/>
            <w:r w:rsidRPr="00113467">
              <w:rPr>
                <w:rFonts w:ascii="Times New Roman" w:eastAsia="Times New Roman" w:hAnsi="Times New Roman" w:cs="Times New Roman"/>
                <w:sz w:val="24"/>
                <w:szCs w:val="24"/>
              </w:rPr>
              <w:t>Aramco</w:t>
            </w:r>
            <w:proofErr w:type="spellEnd"/>
            <w:r w:rsidRPr="00113467">
              <w:rPr>
                <w:rFonts w:ascii="Times New Roman" w:eastAsia="Times New Roman" w:hAnsi="Times New Roman" w:cs="Times New Roman"/>
                <w:sz w:val="24"/>
                <w:szCs w:val="24"/>
              </w:rPr>
              <w:t>, international JVs</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Leverage gas resources; lower-cost H₂ with CCS</w:t>
            </w:r>
          </w:p>
        </w:tc>
      </w:tr>
    </w:tbl>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i/>
          <w:iCs/>
          <w:sz w:val="24"/>
          <w:szCs w:val="24"/>
        </w:rPr>
        <w:t>Table Caption:</w:t>
      </w:r>
      <w:r w:rsidRPr="00113467">
        <w:rPr>
          <w:rFonts w:ascii="Times New Roman" w:eastAsia="Times New Roman" w:hAnsi="Times New Roman" w:cs="Times New Roman"/>
          <w:sz w:val="24"/>
          <w:szCs w:val="24"/>
        </w:rPr>
        <w:t xml:space="preserve"> This table summarizes Saudi Arabia’s major hydrogen production and CCUS projects as of 2024, with completion targets through 2030. Green hydrogen projects (NEOM, </w:t>
      </w:r>
      <w:proofErr w:type="spellStart"/>
      <w:r w:rsidRPr="00113467">
        <w:rPr>
          <w:rFonts w:ascii="Times New Roman" w:eastAsia="Times New Roman" w:hAnsi="Times New Roman" w:cs="Times New Roman"/>
          <w:sz w:val="24"/>
          <w:szCs w:val="24"/>
        </w:rPr>
        <w:lastRenderedPageBreak/>
        <w:t>Yanbu</w:t>
      </w:r>
      <w:proofErr w:type="spellEnd"/>
      <w:r w:rsidRPr="00113467">
        <w:rPr>
          <w:rFonts w:ascii="Times New Roman" w:eastAsia="Times New Roman" w:hAnsi="Times New Roman" w:cs="Times New Roman"/>
          <w:sz w:val="24"/>
          <w:szCs w:val="24"/>
        </w:rPr>
        <w:t>) rely on renewable power and produce zero direct CO₂ emissions. CCS and blue hydrogen projects (</w:t>
      </w:r>
      <w:proofErr w:type="spellStart"/>
      <w:r w:rsidRPr="00113467">
        <w:rPr>
          <w:rFonts w:ascii="Times New Roman" w:eastAsia="Times New Roman" w:hAnsi="Times New Roman" w:cs="Times New Roman"/>
          <w:sz w:val="24"/>
          <w:szCs w:val="24"/>
        </w:rPr>
        <w:t>Hawiyah</w:t>
      </w:r>
      <w:proofErr w:type="spellEnd"/>
      <w:r w:rsidRPr="00113467">
        <w:rPr>
          <w:rFonts w:ascii="Times New Roman" w:eastAsia="Times New Roman" w:hAnsi="Times New Roman" w:cs="Times New Roman"/>
          <w:sz w:val="24"/>
          <w:szCs w:val="24"/>
        </w:rPr>
        <w:t xml:space="preserve">, </w:t>
      </w:r>
      <w:proofErr w:type="spellStart"/>
      <w:r w:rsidRPr="00113467">
        <w:rPr>
          <w:rFonts w:ascii="Times New Roman" w:eastAsia="Times New Roman" w:hAnsi="Times New Roman" w:cs="Times New Roman"/>
          <w:sz w:val="24"/>
          <w:szCs w:val="24"/>
        </w:rPr>
        <w:t>Jubail</w:t>
      </w:r>
      <w:proofErr w:type="spellEnd"/>
      <w:r w:rsidRPr="00113467">
        <w:rPr>
          <w:rFonts w:ascii="Times New Roman" w:eastAsia="Times New Roman" w:hAnsi="Times New Roman" w:cs="Times New Roman"/>
          <w:sz w:val="24"/>
          <w:szCs w:val="24"/>
        </w:rPr>
        <w:t xml:space="preserve"> hub) capture CO₂ from natural gas processing and power/industrial sources. The </w:t>
      </w:r>
      <w:proofErr w:type="spellStart"/>
      <w:r w:rsidRPr="00113467">
        <w:rPr>
          <w:rFonts w:ascii="Times New Roman" w:eastAsia="Times New Roman" w:hAnsi="Times New Roman" w:cs="Times New Roman"/>
          <w:sz w:val="24"/>
          <w:szCs w:val="24"/>
        </w:rPr>
        <w:t>Jubail</w:t>
      </w:r>
      <w:proofErr w:type="spellEnd"/>
      <w:r w:rsidRPr="00113467">
        <w:rPr>
          <w:rFonts w:ascii="Times New Roman" w:eastAsia="Times New Roman" w:hAnsi="Times New Roman" w:cs="Times New Roman"/>
          <w:sz w:val="24"/>
          <w:szCs w:val="24"/>
        </w:rPr>
        <w:t xml:space="preserve"> CCUS hub is designed to aggregate emissions from multiple facilities, achieving economies of scale and supporting both power sector </w:t>
      </w:r>
      <w:proofErr w:type="spellStart"/>
      <w:r w:rsidRPr="00113467">
        <w:rPr>
          <w:rFonts w:ascii="Times New Roman" w:eastAsia="Times New Roman" w:hAnsi="Times New Roman" w:cs="Times New Roman"/>
          <w:sz w:val="24"/>
          <w:szCs w:val="24"/>
        </w:rPr>
        <w:t>decarbonization</w:t>
      </w:r>
      <w:proofErr w:type="spellEnd"/>
      <w:r w:rsidRPr="00113467">
        <w:rPr>
          <w:rFonts w:ascii="Times New Roman" w:eastAsia="Times New Roman" w:hAnsi="Times New Roman" w:cs="Times New Roman"/>
          <w:sz w:val="24"/>
          <w:szCs w:val="24"/>
        </w:rPr>
        <w:t xml:space="preserve"> and blue hydrogen production. Data compiled from ACWA Power (2024), Saudi </w:t>
      </w:r>
      <w:proofErr w:type="spellStart"/>
      <w:r w:rsidRPr="00113467">
        <w:rPr>
          <w:rFonts w:ascii="Times New Roman" w:eastAsia="Times New Roman" w:hAnsi="Times New Roman" w:cs="Times New Roman"/>
          <w:sz w:val="24"/>
          <w:szCs w:val="24"/>
        </w:rPr>
        <w:t>Aramco</w:t>
      </w:r>
      <w:proofErr w:type="spellEnd"/>
      <w:r w:rsidRPr="00113467">
        <w:rPr>
          <w:rFonts w:ascii="Times New Roman" w:eastAsia="Times New Roman" w:hAnsi="Times New Roman" w:cs="Times New Roman"/>
          <w:sz w:val="24"/>
          <w:szCs w:val="24"/>
        </w:rPr>
        <w:t xml:space="preserve"> (2023; 2024), Air Products (2023), and Saudi Green Initiative (2023).</w:t>
      </w:r>
    </w:p>
    <w:p w:rsidR="00113467" w:rsidRPr="00E618FF" w:rsidRDefault="00113467" w:rsidP="00113467">
      <w:pPr>
        <w:spacing w:after="120"/>
        <w:jc w:val="both"/>
        <w:rPr>
          <w:rFonts w:ascii="Times New Roman" w:eastAsia="Times New Roman" w:hAnsi="Times New Roman" w:cs="Times New Roman"/>
          <w:b/>
          <w:sz w:val="24"/>
          <w:szCs w:val="24"/>
        </w:rPr>
      </w:pPr>
      <w:r w:rsidRPr="00E618FF">
        <w:rPr>
          <w:rFonts w:ascii="Times New Roman" w:eastAsia="Times New Roman" w:hAnsi="Times New Roman" w:cs="Times New Roman"/>
          <w:b/>
          <w:sz w:val="24"/>
          <w:szCs w:val="24"/>
        </w:rPr>
        <w:t>Table 3: Policy and Finance Instruments to Support CCU in Saudi Power Plants</w:t>
      </w:r>
    </w:p>
    <w:tbl>
      <w:tblPr>
        <w:tblW w:w="0" w:type="auto"/>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1734"/>
        <w:gridCol w:w="1520"/>
        <w:gridCol w:w="1483"/>
        <w:gridCol w:w="1508"/>
        <w:gridCol w:w="1663"/>
        <w:gridCol w:w="1482"/>
      </w:tblGrid>
      <w:tr w:rsidR="00113467" w:rsidRPr="00113467" w:rsidTr="00113467">
        <w:trPr>
          <w:trHeight w:val="432"/>
        </w:trPr>
        <w:tc>
          <w:tcPr>
            <w:tcW w:w="1800" w:type="dxa"/>
            <w:tcBorders>
              <w:top w:val="single" w:sz="4" w:space="0" w:color="E0E0E0"/>
              <w:left w:val="single" w:sz="4" w:space="0" w:color="E0E0E0"/>
              <w:bottom w:val="single" w:sz="4" w:space="0" w:color="E0E0E0"/>
              <w:right w:val="single" w:sz="4" w:space="0" w:color="E0E0E0"/>
            </w:tcBorders>
            <w:hideMark/>
          </w:tcPr>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i/>
                <w:iCs/>
                <w:sz w:val="24"/>
                <w:szCs w:val="24"/>
              </w:rPr>
              <w:t>Instrument</w:t>
            </w:r>
          </w:p>
        </w:tc>
        <w:tc>
          <w:tcPr>
            <w:tcW w:w="1800" w:type="dxa"/>
            <w:tcBorders>
              <w:top w:val="single" w:sz="4" w:space="0" w:color="E0E0E0"/>
              <w:left w:val="single" w:sz="4" w:space="0" w:color="E0E0E0"/>
              <w:bottom w:val="single" w:sz="4" w:space="0" w:color="E0E0E0"/>
              <w:right w:val="single" w:sz="4" w:space="0" w:color="E0E0E0"/>
            </w:tcBorders>
            <w:hideMark/>
          </w:tcPr>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i/>
                <w:iCs/>
                <w:sz w:val="24"/>
                <w:szCs w:val="24"/>
              </w:rPr>
              <w:t>Mechanism</w:t>
            </w:r>
          </w:p>
        </w:tc>
        <w:tc>
          <w:tcPr>
            <w:tcW w:w="1800" w:type="dxa"/>
            <w:tcBorders>
              <w:top w:val="single" w:sz="4" w:space="0" w:color="E0E0E0"/>
              <w:left w:val="single" w:sz="4" w:space="0" w:color="E0E0E0"/>
              <w:bottom w:val="single" w:sz="4" w:space="0" w:color="E0E0E0"/>
              <w:right w:val="single" w:sz="4" w:space="0" w:color="E0E0E0"/>
            </w:tcBorders>
            <w:hideMark/>
          </w:tcPr>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i/>
                <w:iCs/>
                <w:sz w:val="24"/>
                <w:szCs w:val="24"/>
              </w:rPr>
              <w:t>Target Stakeholders</w:t>
            </w:r>
          </w:p>
        </w:tc>
        <w:tc>
          <w:tcPr>
            <w:tcW w:w="1800" w:type="dxa"/>
            <w:tcBorders>
              <w:top w:val="single" w:sz="4" w:space="0" w:color="E0E0E0"/>
              <w:left w:val="single" w:sz="4" w:space="0" w:color="E0E0E0"/>
              <w:bottom w:val="single" w:sz="4" w:space="0" w:color="E0E0E0"/>
              <w:right w:val="single" w:sz="4" w:space="0" w:color="E0E0E0"/>
            </w:tcBorders>
            <w:hideMark/>
          </w:tcPr>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i/>
                <w:iCs/>
                <w:sz w:val="24"/>
                <w:szCs w:val="24"/>
              </w:rPr>
              <w:t>Expected Impact on CCU Economics</w:t>
            </w:r>
          </w:p>
        </w:tc>
        <w:tc>
          <w:tcPr>
            <w:tcW w:w="1800" w:type="dxa"/>
            <w:tcBorders>
              <w:top w:val="single" w:sz="4" w:space="0" w:color="E0E0E0"/>
              <w:left w:val="single" w:sz="4" w:space="0" w:color="E0E0E0"/>
              <w:bottom w:val="single" w:sz="4" w:space="0" w:color="E0E0E0"/>
              <w:right w:val="single" w:sz="4" w:space="0" w:color="E0E0E0"/>
            </w:tcBorders>
            <w:hideMark/>
          </w:tcPr>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i/>
                <w:iCs/>
                <w:sz w:val="24"/>
                <w:szCs w:val="24"/>
              </w:rPr>
              <w:t>Implementation Status (Saudi Arabia)</w:t>
            </w:r>
          </w:p>
        </w:tc>
        <w:tc>
          <w:tcPr>
            <w:tcW w:w="1800" w:type="dxa"/>
            <w:tcBorders>
              <w:top w:val="single" w:sz="4" w:space="0" w:color="E0E0E0"/>
              <w:left w:val="single" w:sz="4" w:space="0" w:color="E0E0E0"/>
              <w:bottom w:val="single" w:sz="4" w:space="0" w:color="E0E0E0"/>
              <w:right w:val="single" w:sz="4" w:space="0" w:color="E0E0E0"/>
            </w:tcBorders>
            <w:hideMark/>
          </w:tcPr>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i/>
                <w:iCs/>
                <w:sz w:val="24"/>
                <w:szCs w:val="24"/>
              </w:rPr>
              <w:t>International Examples</w:t>
            </w:r>
          </w:p>
        </w:tc>
      </w:tr>
      <w:tr w:rsidR="00113467" w:rsidRPr="00113467" w:rsidTr="00113467">
        <w:trPr>
          <w:trHeight w:val="432"/>
        </w:trPr>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Carbon pricing (tax or cap-and-trade)</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Price on CO₂ emissions (e.g., USD 20–50/</w:t>
            </w:r>
            <w:proofErr w:type="spellStart"/>
            <w:r w:rsidRPr="00113467">
              <w:rPr>
                <w:rFonts w:ascii="Times New Roman" w:eastAsia="Times New Roman" w:hAnsi="Times New Roman" w:cs="Times New Roman"/>
                <w:sz w:val="24"/>
                <w:szCs w:val="24"/>
              </w:rPr>
              <w:t>tCO</w:t>
            </w:r>
            <w:proofErr w:type="spellEnd"/>
            <w:r w:rsidRPr="00113467">
              <w:rPr>
                <w:rFonts w:ascii="Times New Roman" w:eastAsia="Times New Roman" w:hAnsi="Times New Roman" w:cs="Times New Roman"/>
                <w:sz w:val="24"/>
                <w:szCs w:val="24"/>
              </w:rPr>
              <w:t>₂)</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Power generators, industrial emitters</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Creates revenue stream for CO₂ avoidance; improves CCU ROI</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Under consideration</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EU ETS, Canada, Singapore</w:t>
            </w:r>
          </w:p>
        </w:tc>
      </w:tr>
      <w:tr w:rsidR="00113467" w:rsidRPr="00113467" w:rsidTr="00113467">
        <w:trPr>
          <w:trHeight w:val="432"/>
        </w:trPr>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Capital grants / subsidies</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Direct funding for CAPEX (e.g., 30–50% of project cost)</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Project developers, utilities</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Reduces upfront investment barrier; de-risks technology</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Limited (selective projects)</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US 45Q tax credit, UK CCS fund</w:t>
            </w:r>
          </w:p>
        </w:tc>
      </w:tr>
      <w:tr w:rsidR="00113467" w:rsidRPr="00113467" w:rsidTr="00113467">
        <w:trPr>
          <w:trHeight w:val="432"/>
        </w:trPr>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Contracts for Difference (</w:t>
            </w:r>
            <w:proofErr w:type="spellStart"/>
            <w:r w:rsidRPr="00113467">
              <w:rPr>
                <w:rFonts w:ascii="Times New Roman" w:eastAsia="Times New Roman" w:hAnsi="Times New Roman" w:cs="Times New Roman"/>
                <w:sz w:val="24"/>
                <w:szCs w:val="24"/>
              </w:rPr>
              <w:t>CfD</w:t>
            </w:r>
            <w:proofErr w:type="spellEnd"/>
            <w:r w:rsidRPr="00113467">
              <w:rPr>
                <w:rFonts w:ascii="Times New Roman" w:eastAsia="Times New Roman" w:hAnsi="Times New Roman" w:cs="Times New Roman"/>
                <w:sz w:val="24"/>
                <w:szCs w:val="24"/>
              </w:rPr>
              <w:t>)</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xml:space="preserve">Guaranteed price per </w:t>
            </w:r>
            <w:proofErr w:type="spellStart"/>
            <w:r w:rsidRPr="00113467">
              <w:rPr>
                <w:rFonts w:ascii="Times New Roman" w:eastAsia="Times New Roman" w:hAnsi="Times New Roman" w:cs="Times New Roman"/>
                <w:sz w:val="24"/>
                <w:szCs w:val="24"/>
              </w:rPr>
              <w:t>tonne</w:t>
            </w:r>
            <w:proofErr w:type="spellEnd"/>
            <w:r w:rsidRPr="00113467">
              <w:rPr>
                <w:rFonts w:ascii="Times New Roman" w:eastAsia="Times New Roman" w:hAnsi="Times New Roman" w:cs="Times New Roman"/>
                <w:sz w:val="24"/>
                <w:szCs w:val="24"/>
              </w:rPr>
              <w:t xml:space="preserve"> CO₂ avoided over contract period</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CCU project operators</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Provides revenue certainty; lowers financing cost</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Not yet implemented</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xml:space="preserve">UK </w:t>
            </w:r>
            <w:proofErr w:type="spellStart"/>
            <w:r w:rsidRPr="00113467">
              <w:rPr>
                <w:rFonts w:ascii="Times New Roman" w:eastAsia="Times New Roman" w:hAnsi="Times New Roman" w:cs="Times New Roman"/>
                <w:sz w:val="24"/>
                <w:szCs w:val="24"/>
              </w:rPr>
              <w:t>CfD</w:t>
            </w:r>
            <w:proofErr w:type="spellEnd"/>
            <w:r w:rsidRPr="00113467">
              <w:rPr>
                <w:rFonts w:ascii="Times New Roman" w:eastAsia="Times New Roman" w:hAnsi="Times New Roman" w:cs="Times New Roman"/>
                <w:sz w:val="24"/>
                <w:szCs w:val="24"/>
              </w:rPr>
              <w:t xml:space="preserve"> for CCS, EU Innovation Fund</w:t>
            </w:r>
          </w:p>
        </w:tc>
      </w:tr>
      <w:tr w:rsidR="00113467" w:rsidRPr="00113467" w:rsidTr="00113467">
        <w:trPr>
          <w:trHeight w:val="432"/>
        </w:trPr>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Green/transition bonds</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Low-cost debt financing for low-carbon projects</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Energy companies, infrastructure funds</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Lowers cost of capital by 1–2%; attracts ESG investors</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Growing (e.g., NGHC financing)</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Global green bond market</w:t>
            </w:r>
          </w:p>
        </w:tc>
      </w:tr>
      <w:tr w:rsidR="00113467" w:rsidRPr="00113467" w:rsidTr="00113467">
        <w:trPr>
          <w:trHeight w:val="432"/>
        </w:trPr>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Hydrogen certification &amp; export credits</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Lifecycle emissions standards; premium pricing for low-C H₂</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Hydrogen exporters, EU importers</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Incentivizes CCU to lower H₂ carbon intensity; market access</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Negotiating with EU</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EU Renewable Energy Directive (RED III)</w:t>
            </w:r>
          </w:p>
        </w:tc>
      </w:tr>
      <w:tr w:rsidR="00113467" w:rsidRPr="00113467" w:rsidTr="00113467">
        <w:trPr>
          <w:trHeight w:val="432"/>
        </w:trPr>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lastRenderedPageBreak/>
              <w:t>R&amp;D funding &amp; innovation support</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Competitive grants for technology pilots and scale-up</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Universities, research centers, startups</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Accelerates solvent R&amp;D, hybrid cycles, MRV systems</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Moderate (KAPSARC, universities)</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US DOE, EU Horizon Europe</w:t>
            </w:r>
          </w:p>
        </w:tc>
      </w:tr>
      <w:tr w:rsidR="00113467" w:rsidRPr="00113467" w:rsidTr="00113467">
        <w:trPr>
          <w:trHeight w:val="432"/>
        </w:trPr>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Regulatory clarity (storage, liability)</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Clear legal framework for CO₂ transport, storage, monitoring</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All CCS operators, investors</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Reduces perceived risk; enables long-term planning</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Developing (</w:t>
            </w:r>
            <w:proofErr w:type="spellStart"/>
            <w:r w:rsidRPr="00113467">
              <w:rPr>
                <w:rFonts w:ascii="Times New Roman" w:eastAsia="Times New Roman" w:hAnsi="Times New Roman" w:cs="Times New Roman"/>
                <w:sz w:val="24"/>
                <w:szCs w:val="24"/>
              </w:rPr>
              <w:t>Jubail</w:t>
            </w:r>
            <w:proofErr w:type="spellEnd"/>
            <w:r w:rsidRPr="00113467">
              <w:rPr>
                <w:rFonts w:ascii="Times New Roman" w:eastAsia="Times New Roman" w:hAnsi="Times New Roman" w:cs="Times New Roman"/>
                <w:sz w:val="24"/>
                <w:szCs w:val="24"/>
              </w:rPr>
              <w:t xml:space="preserve"> hub regulations)</w:t>
            </w:r>
          </w:p>
        </w:tc>
        <w:tc>
          <w:tcPr>
            <w:tcW w:w="0" w:type="auto"/>
            <w:tcBorders>
              <w:top w:val="nil"/>
              <w:left w:val="single" w:sz="4" w:space="0" w:color="E0E0E0"/>
              <w:bottom w:val="single" w:sz="4" w:space="0" w:color="E0E0E0"/>
              <w:right w:val="single" w:sz="4" w:space="0" w:color="E0E0E0"/>
            </w:tcBorders>
            <w:hideMark/>
          </w:tcPr>
          <w:p w:rsidR="00113467" w:rsidRPr="00113467" w:rsidRDefault="00113467" w:rsidP="00113467">
            <w:pPr>
              <w:spacing w:after="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Norway, US (Class VI wells), Australia</w:t>
            </w:r>
          </w:p>
        </w:tc>
      </w:tr>
    </w:tbl>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i/>
          <w:iCs/>
          <w:sz w:val="24"/>
          <w:szCs w:val="24"/>
        </w:rPr>
        <w:t>Table Caption:</w:t>
      </w:r>
      <w:r w:rsidRPr="00113467">
        <w:rPr>
          <w:rFonts w:ascii="Times New Roman" w:eastAsia="Times New Roman" w:hAnsi="Times New Roman" w:cs="Times New Roman"/>
          <w:sz w:val="24"/>
          <w:szCs w:val="24"/>
        </w:rPr>
        <w:t xml:space="preserve"> This table outlines key policy and finance instruments that can support the deployment of CCU in Saudi Arabia’s power sector. Carbon pricing and contracts for difference provide ongoing revenue streams for CO₂ avoidance, while capital grants and green bonds reduce upfront investment costs. Hydrogen certification schemes create market incentives for low-carbon intensity, directly rewarding CCU integration. Regulatory clarity on CO₂ storage and liability is essential to de-risk investment. Current implementation in Saudi Arabia is evolving, with growing alignment to international frameworks (European Union, 2023; World Bank, 2023; ISO, 2023).</w:t>
      </w:r>
      <w:r w:rsidR="00E618FF">
        <w:rPr>
          <w:rFonts w:ascii="Times New Roman" w:eastAsia="Times New Roman" w:hAnsi="Times New Roman" w:cs="Times New Roman"/>
          <w:sz w:val="24"/>
          <w:szCs w:val="24"/>
        </w:rPr>
        <w:br/>
      </w:r>
    </w:p>
    <w:p w:rsidR="00113467" w:rsidRPr="00E618FF" w:rsidRDefault="00113467" w:rsidP="00113467">
      <w:pPr>
        <w:spacing w:after="120"/>
        <w:jc w:val="both"/>
        <w:rPr>
          <w:rFonts w:ascii="Times New Roman" w:eastAsia="Times New Roman" w:hAnsi="Times New Roman" w:cs="Times New Roman"/>
          <w:b/>
          <w:sz w:val="24"/>
          <w:szCs w:val="24"/>
        </w:rPr>
      </w:pPr>
      <w:r w:rsidRPr="00E618FF">
        <w:rPr>
          <w:rFonts w:ascii="Times New Roman" w:eastAsia="Times New Roman" w:hAnsi="Times New Roman" w:cs="Times New Roman"/>
          <w:b/>
          <w:sz w:val="24"/>
          <w:szCs w:val="24"/>
        </w:rPr>
        <w:t>References</w:t>
      </w:r>
      <w:r w:rsidR="003458BE">
        <w:rPr>
          <w:rFonts w:ascii="Times New Roman" w:eastAsia="Times New Roman" w:hAnsi="Times New Roman" w:cs="Times New Roman"/>
          <w:b/>
          <w:sz w:val="24"/>
          <w:szCs w:val="24"/>
        </w:rPr>
        <w:t xml:space="preserve"> : </w:t>
      </w:r>
    </w:p>
    <w:p w:rsidR="00113467" w:rsidRPr="00113467" w:rsidRDefault="00113467" w:rsidP="00113467">
      <w:pPr>
        <w:spacing w:after="120"/>
        <w:jc w:val="both"/>
        <w:rPr>
          <w:rFonts w:ascii="Times New Roman" w:eastAsia="Times New Roman" w:hAnsi="Times New Roman" w:cs="Times New Roman"/>
          <w:sz w:val="24"/>
          <w:szCs w:val="24"/>
        </w:rPr>
      </w:pPr>
      <w:proofErr w:type="gramStart"/>
      <w:r w:rsidRPr="00113467">
        <w:rPr>
          <w:rFonts w:ascii="Times New Roman" w:eastAsia="Times New Roman" w:hAnsi="Times New Roman" w:cs="Times New Roman"/>
          <w:sz w:val="24"/>
          <w:szCs w:val="24"/>
        </w:rPr>
        <w:t>ACWA Power.</w:t>
      </w:r>
      <w:proofErr w:type="gramEnd"/>
      <w:r w:rsidRPr="00113467">
        <w:rPr>
          <w:rFonts w:ascii="Times New Roman" w:eastAsia="Times New Roman" w:hAnsi="Times New Roman" w:cs="Times New Roman"/>
          <w:sz w:val="24"/>
          <w:szCs w:val="24"/>
        </w:rPr>
        <w:t xml:space="preserve"> (2024). NEOM green hydrogen project: Pioneering sustainable energy export. </w:t>
      </w:r>
      <w:proofErr w:type="gramStart"/>
      <w:r w:rsidRPr="00113467">
        <w:rPr>
          <w:rFonts w:ascii="Times New Roman" w:eastAsia="Times New Roman" w:hAnsi="Times New Roman" w:cs="Times New Roman"/>
          <w:sz w:val="24"/>
          <w:szCs w:val="24"/>
        </w:rPr>
        <w:t>ACWA Power.</w:t>
      </w:r>
      <w:proofErr w:type="gramEnd"/>
      <w:r w:rsidRPr="00113467">
        <w:rPr>
          <w:rFonts w:ascii="Times New Roman" w:eastAsia="Times New Roman" w:hAnsi="Times New Roman" w:cs="Times New Roman"/>
          <w:sz w:val="24"/>
          <w:szCs w:val="24"/>
        </w:rPr>
        <w:t xml:space="preserve"> </w:t>
      </w:r>
      <w:hyperlink r:id="rId5" w:history="1">
        <w:r w:rsidRPr="00113467">
          <w:rPr>
            <w:rFonts w:ascii="Times New Roman" w:eastAsia="Times New Roman" w:hAnsi="Times New Roman" w:cs="Times New Roman"/>
            <w:color w:val="0000FF"/>
            <w:sz w:val="24"/>
            <w:szCs w:val="24"/>
            <w:u w:val="single"/>
          </w:rPr>
          <w:t>https://www.acwapower.com/en/projects/neom-green-hydrogen/</w:t>
        </w:r>
      </w:hyperlink>
    </w:p>
    <w:p w:rsidR="00113467" w:rsidRPr="00113467" w:rsidRDefault="00113467" w:rsidP="00113467">
      <w:pPr>
        <w:spacing w:after="120"/>
        <w:jc w:val="both"/>
        <w:rPr>
          <w:rFonts w:ascii="Times New Roman" w:eastAsia="Times New Roman" w:hAnsi="Times New Roman" w:cs="Times New Roman"/>
          <w:sz w:val="24"/>
          <w:szCs w:val="24"/>
        </w:rPr>
      </w:pPr>
      <w:proofErr w:type="gramStart"/>
      <w:r w:rsidRPr="00113467">
        <w:rPr>
          <w:rFonts w:ascii="Times New Roman" w:eastAsia="Times New Roman" w:hAnsi="Times New Roman" w:cs="Times New Roman"/>
          <w:sz w:val="24"/>
          <w:szCs w:val="24"/>
        </w:rPr>
        <w:t>Air Products.</w:t>
      </w:r>
      <w:proofErr w:type="gramEnd"/>
      <w:r w:rsidRPr="00113467">
        <w:rPr>
          <w:rFonts w:ascii="Times New Roman" w:eastAsia="Times New Roman" w:hAnsi="Times New Roman" w:cs="Times New Roman"/>
          <w:sz w:val="24"/>
          <w:szCs w:val="24"/>
        </w:rPr>
        <w:t xml:space="preserve"> </w:t>
      </w:r>
      <w:proofErr w:type="gramStart"/>
      <w:r w:rsidRPr="00113467">
        <w:rPr>
          <w:rFonts w:ascii="Times New Roman" w:eastAsia="Times New Roman" w:hAnsi="Times New Roman" w:cs="Times New Roman"/>
          <w:sz w:val="24"/>
          <w:szCs w:val="24"/>
        </w:rPr>
        <w:t>(2023). NEOM green hydrogen project fact sheet.</w:t>
      </w:r>
      <w:proofErr w:type="gramEnd"/>
      <w:r w:rsidRPr="00113467">
        <w:rPr>
          <w:rFonts w:ascii="Times New Roman" w:eastAsia="Times New Roman" w:hAnsi="Times New Roman" w:cs="Times New Roman"/>
          <w:sz w:val="24"/>
          <w:szCs w:val="24"/>
        </w:rPr>
        <w:t xml:space="preserve"> Air Products and Chemicals, Inc. </w:t>
      </w:r>
      <w:hyperlink r:id="rId6" w:history="1">
        <w:r w:rsidRPr="00113467">
          <w:rPr>
            <w:rFonts w:ascii="Times New Roman" w:eastAsia="Times New Roman" w:hAnsi="Times New Roman" w:cs="Times New Roman"/>
            <w:color w:val="0000FF"/>
            <w:sz w:val="24"/>
            <w:szCs w:val="24"/>
            <w:u w:val="single"/>
          </w:rPr>
          <w:t>https://www.airproducts.com/campaigns/neom-green-hydrogen-project</w:t>
        </w:r>
      </w:hyperlink>
    </w:p>
    <w:p w:rsidR="00113467" w:rsidRPr="00113467" w:rsidRDefault="00113467" w:rsidP="00113467">
      <w:pPr>
        <w:spacing w:after="120"/>
        <w:jc w:val="both"/>
        <w:rPr>
          <w:rFonts w:ascii="Times New Roman" w:eastAsia="Times New Roman" w:hAnsi="Times New Roman" w:cs="Times New Roman"/>
          <w:sz w:val="24"/>
          <w:szCs w:val="24"/>
        </w:rPr>
      </w:pPr>
      <w:proofErr w:type="gramStart"/>
      <w:r w:rsidRPr="00113467">
        <w:rPr>
          <w:rFonts w:ascii="Times New Roman" w:eastAsia="Times New Roman" w:hAnsi="Times New Roman" w:cs="Times New Roman"/>
          <w:sz w:val="24"/>
          <w:szCs w:val="24"/>
        </w:rPr>
        <w:t>Carbon Cure.</w:t>
      </w:r>
      <w:proofErr w:type="gramEnd"/>
      <w:r w:rsidRPr="00113467">
        <w:rPr>
          <w:rFonts w:ascii="Times New Roman" w:eastAsia="Times New Roman" w:hAnsi="Times New Roman" w:cs="Times New Roman"/>
          <w:sz w:val="24"/>
          <w:szCs w:val="24"/>
        </w:rPr>
        <w:t xml:space="preserve"> (2023). CO₂ utilization in concrete: Technology and market update 2023. </w:t>
      </w:r>
      <w:proofErr w:type="spellStart"/>
      <w:proofErr w:type="gramStart"/>
      <w:r w:rsidRPr="00113467">
        <w:rPr>
          <w:rFonts w:ascii="Times New Roman" w:eastAsia="Times New Roman" w:hAnsi="Times New Roman" w:cs="Times New Roman"/>
          <w:sz w:val="24"/>
          <w:szCs w:val="24"/>
        </w:rPr>
        <w:t>CarbonCure</w:t>
      </w:r>
      <w:proofErr w:type="spellEnd"/>
      <w:r w:rsidRPr="00113467">
        <w:rPr>
          <w:rFonts w:ascii="Times New Roman" w:eastAsia="Times New Roman" w:hAnsi="Times New Roman" w:cs="Times New Roman"/>
          <w:sz w:val="24"/>
          <w:szCs w:val="24"/>
        </w:rPr>
        <w:t xml:space="preserve"> Technologies.</w:t>
      </w:r>
      <w:proofErr w:type="gramEnd"/>
      <w:r w:rsidRPr="00113467">
        <w:rPr>
          <w:rFonts w:ascii="Times New Roman" w:eastAsia="Times New Roman" w:hAnsi="Times New Roman" w:cs="Times New Roman"/>
          <w:sz w:val="24"/>
          <w:szCs w:val="24"/>
        </w:rPr>
        <w:t xml:space="preserve"> </w:t>
      </w:r>
      <w:hyperlink r:id="rId7" w:history="1">
        <w:r w:rsidRPr="00113467">
          <w:rPr>
            <w:rFonts w:ascii="Times New Roman" w:eastAsia="Times New Roman" w:hAnsi="Times New Roman" w:cs="Times New Roman"/>
            <w:color w:val="0000FF"/>
            <w:sz w:val="24"/>
            <w:szCs w:val="24"/>
            <w:u w:val="single"/>
          </w:rPr>
          <w:t>https://www.carboncure.com/</w:t>
        </w:r>
      </w:hyperlink>
    </w:p>
    <w:p w:rsidR="00113467" w:rsidRPr="00113467" w:rsidRDefault="00113467" w:rsidP="00113467">
      <w:pPr>
        <w:spacing w:after="120"/>
        <w:jc w:val="both"/>
        <w:rPr>
          <w:rFonts w:ascii="Times New Roman" w:eastAsia="Times New Roman" w:hAnsi="Times New Roman" w:cs="Times New Roman"/>
          <w:sz w:val="24"/>
          <w:szCs w:val="24"/>
        </w:rPr>
      </w:pPr>
      <w:proofErr w:type="gramStart"/>
      <w:r w:rsidRPr="00113467">
        <w:rPr>
          <w:rFonts w:ascii="Times New Roman" w:eastAsia="Times New Roman" w:hAnsi="Times New Roman" w:cs="Times New Roman"/>
          <w:sz w:val="24"/>
          <w:szCs w:val="24"/>
        </w:rPr>
        <w:t>European Commission.</w:t>
      </w:r>
      <w:proofErr w:type="gramEnd"/>
      <w:r w:rsidRPr="00113467">
        <w:rPr>
          <w:rFonts w:ascii="Times New Roman" w:eastAsia="Times New Roman" w:hAnsi="Times New Roman" w:cs="Times New Roman"/>
          <w:sz w:val="24"/>
          <w:szCs w:val="24"/>
        </w:rPr>
        <w:t xml:space="preserve"> (2023). EU hydrogen strategy: International partnerships and import corridors. </w:t>
      </w:r>
      <w:proofErr w:type="gramStart"/>
      <w:r w:rsidRPr="00113467">
        <w:rPr>
          <w:rFonts w:ascii="Times New Roman" w:eastAsia="Times New Roman" w:hAnsi="Times New Roman" w:cs="Times New Roman"/>
          <w:sz w:val="24"/>
          <w:szCs w:val="24"/>
        </w:rPr>
        <w:t>European Commission Directorate-General for Energy.</w:t>
      </w:r>
      <w:proofErr w:type="gramEnd"/>
      <w:r w:rsidRPr="00113467">
        <w:rPr>
          <w:rFonts w:ascii="Times New Roman" w:eastAsia="Times New Roman" w:hAnsi="Times New Roman" w:cs="Times New Roman"/>
          <w:sz w:val="24"/>
          <w:szCs w:val="24"/>
        </w:rPr>
        <w:t xml:space="preserve"> </w:t>
      </w:r>
      <w:hyperlink r:id="rId8" w:history="1">
        <w:r w:rsidRPr="00113467">
          <w:rPr>
            <w:rFonts w:ascii="Times New Roman" w:eastAsia="Times New Roman" w:hAnsi="Times New Roman" w:cs="Times New Roman"/>
            <w:color w:val="0000FF"/>
            <w:sz w:val="24"/>
            <w:szCs w:val="24"/>
            <w:u w:val="single"/>
          </w:rPr>
          <w:t>https://energy.ec.europa.eu/topics/energy-systems-integration/hydrogen_en</w:t>
        </w:r>
      </w:hyperlink>
    </w:p>
    <w:p w:rsidR="00113467" w:rsidRPr="00113467" w:rsidRDefault="00113467" w:rsidP="00113467">
      <w:pPr>
        <w:spacing w:after="120"/>
        <w:jc w:val="both"/>
        <w:rPr>
          <w:rFonts w:ascii="Times New Roman" w:eastAsia="Times New Roman" w:hAnsi="Times New Roman" w:cs="Times New Roman"/>
          <w:sz w:val="24"/>
          <w:szCs w:val="24"/>
        </w:rPr>
      </w:pPr>
      <w:proofErr w:type="gramStart"/>
      <w:r w:rsidRPr="00113467">
        <w:rPr>
          <w:rFonts w:ascii="Times New Roman" w:eastAsia="Times New Roman" w:hAnsi="Times New Roman" w:cs="Times New Roman"/>
          <w:sz w:val="24"/>
          <w:szCs w:val="24"/>
        </w:rPr>
        <w:t>European Union.</w:t>
      </w:r>
      <w:proofErr w:type="gramEnd"/>
      <w:r w:rsidRPr="00113467">
        <w:rPr>
          <w:rFonts w:ascii="Times New Roman" w:eastAsia="Times New Roman" w:hAnsi="Times New Roman" w:cs="Times New Roman"/>
          <w:sz w:val="24"/>
          <w:szCs w:val="24"/>
        </w:rPr>
        <w:t xml:space="preserve"> (2023). Renewable Energy Directive III (RED III): Delegated acts on renewable fuels of non-biological origin. </w:t>
      </w:r>
      <w:proofErr w:type="gramStart"/>
      <w:r w:rsidRPr="00113467">
        <w:rPr>
          <w:rFonts w:ascii="Times New Roman" w:eastAsia="Times New Roman" w:hAnsi="Times New Roman" w:cs="Times New Roman"/>
          <w:sz w:val="24"/>
          <w:szCs w:val="24"/>
        </w:rPr>
        <w:t>Official Journal of the European Union.</w:t>
      </w:r>
      <w:proofErr w:type="gramEnd"/>
      <w:r w:rsidRPr="00113467">
        <w:rPr>
          <w:rFonts w:ascii="Times New Roman" w:eastAsia="Times New Roman" w:hAnsi="Times New Roman" w:cs="Times New Roman"/>
          <w:sz w:val="24"/>
          <w:szCs w:val="24"/>
        </w:rPr>
        <w:t xml:space="preserve"> </w:t>
      </w:r>
      <w:hyperlink r:id="rId9" w:history="1">
        <w:r w:rsidRPr="00113467">
          <w:rPr>
            <w:rFonts w:ascii="Times New Roman" w:eastAsia="Times New Roman" w:hAnsi="Times New Roman" w:cs="Times New Roman"/>
            <w:color w:val="0000FF"/>
            <w:sz w:val="24"/>
            <w:szCs w:val="24"/>
            <w:u w:val="single"/>
          </w:rPr>
          <w:t>https://eur-lex.europa.eu/</w:t>
        </w:r>
      </w:hyperlink>
    </w:p>
    <w:p w:rsidR="00113467" w:rsidRPr="00113467" w:rsidRDefault="00113467" w:rsidP="00113467">
      <w:pPr>
        <w:spacing w:after="120"/>
        <w:jc w:val="both"/>
        <w:rPr>
          <w:rFonts w:ascii="Times New Roman" w:eastAsia="Times New Roman" w:hAnsi="Times New Roman" w:cs="Times New Roman"/>
          <w:sz w:val="24"/>
          <w:szCs w:val="24"/>
        </w:rPr>
      </w:pPr>
      <w:proofErr w:type="gramStart"/>
      <w:r w:rsidRPr="00113467">
        <w:rPr>
          <w:rFonts w:ascii="Times New Roman" w:eastAsia="Times New Roman" w:hAnsi="Times New Roman" w:cs="Times New Roman"/>
          <w:sz w:val="24"/>
          <w:szCs w:val="24"/>
        </w:rPr>
        <w:t>G20 Energy Ministers.</w:t>
      </w:r>
      <w:proofErr w:type="gramEnd"/>
      <w:r w:rsidRPr="00113467">
        <w:rPr>
          <w:rFonts w:ascii="Times New Roman" w:eastAsia="Times New Roman" w:hAnsi="Times New Roman" w:cs="Times New Roman"/>
          <w:sz w:val="24"/>
          <w:szCs w:val="24"/>
        </w:rPr>
        <w:t xml:space="preserve"> (2020). G20 communiqué: Circular Carbon Economy (CCE) framework. </w:t>
      </w:r>
      <w:proofErr w:type="gramStart"/>
      <w:r w:rsidRPr="00113467">
        <w:rPr>
          <w:rFonts w:ascii="Times New Roman" w:eastAsia="Times New Roman" w:hAnsi="Times New Roman" w:cs="Times New Roman"/>
          <w:sz w:val="24"/>
          <w:szCs w:val="24"/>
        </w:rPr>
        <w:t>G20 Saudi Arabia Presidency.</w:t>
      </w:r>
      <w:proofErr w:type="gramEnd"/>
      <w:r w:rsidRPr="00113467">
        <w:rPr>
          <w:rFonts w:ascii="Times New Roman" w:eastAsia="Times New Roman" w:hAnsi="Times New Roman" w:cs="Times New Roman"/>
          <w:sz w:val="24"/>
          <w:szCs w:val="24"/>
        </w:rPr>
        <w:t xml:space="preserve"> </w:t>
      </w:r>
      <w:hyperlink r:id="rId10" w:history="1">
        <w:r w:rsidRPr="00113467">
          <w:rPr>
            <w:rFonts w:ascii="Times New Roman" w:eastAsia="Times New Roman" w:hAnsi="Times New Roman" w:cs="Times New Roman"/>
            <w:color w:val="0000FF"/>
            <w:sz w:val="24"/>
            <w:szCs w:val="24"/>
            <w:u w:val="single"/>
          </w:rPr>
          <w:t>https://www.g20.org/</w:t>
        </w:r>
      </w:hyperlink>
    </w:p>
    <w:p w:rsidR="00113467" w:rsidRPr="00113467" w:rsidRDefault="00113467" w:rsidP="00113467">
      <w:pPr>
        <w:spacing w:after="120"/>
        <w:jc w:val="both"/>
        <w:rPr>
          <w:rFonts w:ascii="Times New Roman" w:eastAsia="Times New Roman" w:hAnsi="Times New Roman" w:cs="Times New Roman"/>
          <w:sz w:val="24"/>
          <w:szCs w:val="24"/>
        </w:rPr>
      </w:pPr>
      <w:proofErr w:type="gramStart"/>
      <w:r w:rsidRPr="00113467">
        <w:rPr>
          <w:rFonts w:ascii="Times New Roman" w:eastAsia="Times New Roman" w:hAnsi="Times New Roman" w:cs="Times New Roman"/>
          <w:sz w:val="24"/>
          <w:szCs w:val="24"/>
        </w:rPr>
        <w:t>Global CCS Institute.</w:t>
      </w:r>
      <w:proofErr w:type="gramEnd"/>
      <w:r w:rsidRPr="00113467">
        <w:rPr>
          <w:rFonts w:ascii="Times New Roman" w:eastAsia="Times New Roman" w:hAnsi="Times New Roman" w:cs="Times New Roman"/>
          <w:sz w:val="24"/>
          <w:szCs w:val="24"/>
        </w:rPr>
        <w:t xml:space="preserve"> (2024). Global status of CCS 2024: Project database and capacity outlook. </w:t>
      </w:r>
      <w:proofErr w:type="gramStart"/>
      <w:r w:rsidRPr="00113467">
        <w:rPr>
          <w:rFonts w:ascii="Times New Roman" w:eastAsia="Times New Roman" w:hAnsi="Times New Roman" w:cs="Times New Roman"/>
          <w:sz w:val="24"/>
          <w:szCs w:val="24"/>
        </w:rPr>
        <w:t>Global CCS Institute.</w:t>
      </w:r>
      <w:proofErr w:type="gramEnd"/>
      <w:r w:rsidRPr="00113467">
        <w:rPr>
          <w:rFonts w:ascii="Times New Roman" w:eastAsia="Times New Roman" w:hAnsi="Times New Roman" w:cs="Times New Roman"/>
          <w:sz w:val="24"/>
          <w:szCs w:val="24"/>
        </w:rPr>
        <w:t xml:space="preserve"> </w:t>
      </w:r>
      <w:hyperlink r:id="rId11" w:history="1">
        <w:r w:rsidRPr="00113467">
          <w:rPr>
            <w:rFonts w:ascii="Times New Roman" w:eastAsia="Times New Roman" w:hAnsi="Times New Roman" w:cs="Times New Roman"/>
            <w:color w:val="0000FF"/>
            <w:sz w:val="24"/>
            <w:szCs w:val="24"/>
            <w:u w:val="single"/>
          </w:rPr>
          <w:t>https://www.globalccsinstitute.com/resources/global-status-report/</w:t>
        </w:r>
      </w:hyperlink>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lastRenderedPageBreak/>
        <w:t xml:space="preserve">IEA (International Energy Agency). (2021). </w:t>
      </w:r>
      <w:proofErr w:type="gramStart"/>
      <w:r w:rsidRPr="00113467">
        <w:rPr>
          <w:rFonts w:ascii="Times New Roman" w:eastAsia="Times New Roman" w:hAnsi="Times New Roman" w:cs="Times New Roman"/>
          <w:sz w:val="24"/>
          <w:szCs w:val="24"/>
        </w:rPr>
        <w:t>Is</w:t>
      </w:r>
      <w:proofErr w:type="gramEnd"/>
      <w:r w:rsidRPr="00113467">
        <w:rPr>
          <w:rFonts w:ascii="Times New Roman" w:eastAsia="Times New Roman" w:hAnsi="Times New Roman" w:cs="Times New Roman"/>
          <w:sz w:val="24"/>
          <w:szCs w:val="24"/>
        </w:rPr>
        <w:t xml:space="preserve"> carbon capture too expensive? </w:t>
      </w:r>
      <w:proofErr w:type="gramStart"/>
      <w:r w:rsidRPr="00113467">
        <w:rPr>
          <w:rFonts w:ascii="Times New Roman" w:eastAsia="Times New Roman" w:hAnsi="Times New Roman" w:cs="Times New Roman"/>
          <w:sz w:val="24"/>
          <w:szCs w:val="24"/>
        </w:rPr>
        <w:t>IEA Analysis.</w:t>
      </w:r>
      <w:proofErr w:type="gramEnd"/>
      <w:r w:rsidRPr="00113467">
        <w:rPr>
          <w:rFonts w:ascii="Times New Roman" w:eastAsia="Times New Roman" w:hAnsi="Times New Roman" w:cs="Times New Roman"/>
          <w:sz w:val="24"/>
          <w:szCs w:val="24"/>
        </w:rPr>
        <w:t xml:space="preserve"> </w:t>
      </w:r>
      <w:hyperlink r:id="rId12" w:history="1">
        <w:r w:rsidRPr="00113467">
          <w:rPr>
            <w:rFonts w:ascii="Times New Roman" w:eastAsia="Times New Roman" w:hAnsi="Times New Roman" w:cs="Times New Roman"/>
            <w:color w:val="0000FF"/>
            <w:sz w:val="24"/>
            <w:szCs w:val="24"/>
            <w:u w:val="single"/>
          </w:rPr>
          <w:t>https://www.iea.org/articles/is-carbon-capture-too-expensive</w:t>
        </w:r>
      </w:hyperlink>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xml:space="preserve">IEA (International Energy Agency). (2022). </w:t>
      </w:r>
      <w:proofErr w:type="gramStart"/>
      <w:r w:rsidRPr="00113467">
        <w:rPr>
          <w:rFonts w:ascii="Times New Roman" w:eastAsia="Times New Roman" w:hAnsi="Times New Roman" w:cs="Times New Roman"/>
          <w:sz w:val="24"/>
          <w:szCs w:val="24"/>
        </w:rPr>
        <w:t>Direct</w:t>
      </w:r>
      <w:proofErr w:type="gramEnd"/>
      <w:r w:rsidRPr="00113467">
        <w:rPr>
          <w:rFonts w:ascii="Times New Roman" w:eastAsia="Times New Roman" w:hAnsi="Times New Roman" w:cs="Times New Roman"/>
          <w:sz w:val="24"/>
          <w:szCs w:val="24"/>
        </w:rPr>
        <w:t xml:space="preserve"> air capture: A key technology for net zero. </w:t>
      </w:r>
      <w:proofErr w:type="gramStart"/>
      <w:r w:rsidRPr="00113467">
        <w:rPr>
          <w:rFonts w:ascii="Times New Roman" w:eastAsia="Times New Roman" w:hAnsi="Times New Roman" w:cs="Times New Roman"/>
          <w:sz w:val="24"/>
          <w:szCs w:val="24"/>
        </w:rPr>
        <w:t>IEA Special Report.</w:t>
      </w:r>
      <w:proofErr w:type="gramEnd"/>
      <w:r w:rsidRPr="00113467">
        <w:rPr>
          <w:rFonts w:ascii="Times New Roman" w:eastAsia="Times New Roman" w:hAnsi="Times New Roman" w:cs="Times New Roman"/>
          <w:sz w:val="24"/>
          <w:szCs w:val="24"/>
        </w:rPr>
        <w:t xml:space="preserve"> </w:t>
      </w:r>
      <w:hyperlink r:id="rId13" w:history="1">
        <w:r w:rsidRPr="00113467">
          <w:rPr>
            <w:rFonts w:ascii="Times New Roman" w:eastAsia="Times New Roman" w:hAnsi="Times New Roman" w:cs="Times New Roman"/>
            <w:color w:val="0000FF"/>
            <w:sz w:val="24"/>
            <w:szCs w:val="24"/>
            <w:u w:val="single"/>
          </w:rPr>
          <w:t>https://www.iea.org/reports/direct-air-capture-2022</w:t>
        </w:r>
      </w:hyperlink>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xml:space="preserve">IEA (International Energy Agency). </w:t>
      </w:r>
      <w:proofErr w:type="gramStart"/>
      <w:r w:rsidRPr="00113467">
        <w:rPr>
          <w:rFonts w:ascii="Times New Roman" w:eastAsia="Times New Roman" w:hAnsi="Times New Roman" w:cs="Times New Roman"/>
          <w:sz w:val="24"/>
          <w:szCs w:val="24"/>
        </w:rPr>
        <w:t>(2023a). Global hydrogen review 2023.</w:t>
      </w:r>
      <w:proofErr w:type="gramEnd"/>
      <w:r w:rsidRPr="00113467">
        <w:rPr>
          <w:rFonts w:ascii="Times New Roman" w:eastAsia="Times New Roman" w:hAnsi="Times New Roman" w:cs="Times New Roman"/>
          <w:sz w:val="24"/>
          <w:szCs w:val="24"/>
        </w:rPr>
        <w:t xml:space="preserve"> </w:t>
      </w:r>
      <w:proofErr w:type="gramStart"/>
      <w:r w:rsidRPr="00113467">
        <w:rPr>
          <w:rFonts w:ascii="Times New Roman" w:eastAsia="Times New Roman" w:hAnsi="Times New Roman" w:cs="Times New Roman"/>
          <w:sz w:val="24"/>
          <w:szCs w:val="24"/>
        </w:rPr>
        <w:t>IEA.</w:t>
      </w:r>
      <w:proofErr w:type="gramEnd"/>
      <w:r w:rsidRPr="00113467">
        <w:rPr>
          <w:rFonts w:ascii="Times New Roman" w:eastAsia="Times New Roman" w:hAnsi="Times New Roman" w:cs="Times New Roman"/>
          <w:sz w:val="24"/>
          <w:szCs w:val="24"/>
        </w:rPr>
        <w:t xml:space="preserve"> </w:t>
      </w:r>
      <w:hyperlink r:id="rId14" w:history="1">
        <w:r w:rsidRPr="00113467">
          <w:rPr>
            <w:rFonts w:ascii="Times New Roman" w:eastAsia="Times New Roman" w:hAnsi="Times New Roman" w:cs="Times New Roman"/>
            <w:color w:val="0000FF"/>
            <w:sz w:val="24"/>
            <w:szCs w:val="24"/>
            <w:u w:val="single"/>
          </w:rPr>
          <w:t>https://www.iea.org/reports/global-hydrogen-review-2023</w:t>
        </w:r>
      </w:hyperlink>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xml:space="preserve">IEA (International Energy Agency). (2023b). CCUS in clean energy transitions: Tracking progress and scaling up deployment. </w:t>
      </w:r>
      <w:proofErr w:type="gramStart"/>
      <w:r w:rsidRPr="00113467">
        <w:rPr>
          <w:rFonts w:ascii="Times New Roman" w:eastAsia="Times New Roman" w:hAnsi="Times New Roman" w:cs="Times New Roman"/>
          <w:sz w:val="24"/>
          <w:szCs w:val="24"/>
        </w:rPr>
        <w:t>IEA.</w:t>
      </w:r>
      <w:proofErr w:type="gramEnd"/>
      <w:r w:rsidRPr="00113467">
        <w:rPr>
          <w:rFonts w:ascii="Times New Roman" w:eastAsia="Times New Roman" w:hAnsi="Times New Roman" w:cs="Times New Roman"/>
          <w:sz w:val="24"/>
          <w:szCs w:val="24"/>
        </w:rPr>
        <w:t xml:space="preserve"> </w:t>
      </w:r>
      <w:hyperlink r:id="rId15" w:history="1">
        <w:r w:rsidRPr="00113467">
          <w:rPr>
            <w:rFonts w:ascii="Times New Roman" w:eastAsia="Times New Roman" w:hAnsi="Times New Roman" w:cs="Times New Roman"/>
            <w:color w:val="0000FF"/>
            <w:sz w:val="24"/>
            <w:szCs w:val="24"/>
            <w:u w:val="single"/>
          </w:rPr>
          <w:t>https://www.iea.org/reports/ccus-in-clean-energy-transitions</w:t>
        </w:r>
      </w:hyperlink>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xml:space="preserve">IEA (International Energy Agency). (2024). Energy technology perspectives 2024: Pathways to net zero emissions by 2050. </w:t>
      </w:r>
      <w:proofErr w:type="gramStart"/>
      <w:r w:rsidRPr="00113467">
        <w:rPr>
          <w:rFonts w:ascii="Times New Roman" w:eastAsia="Times New Roman" w:hAnsi="Times New Roman" w:cs="Times New Roman"/>
          <w:sz w:val="24"/>
          <w:szCs w:val="24"/>
        </w:rPr>
        <w:t>IEA.</w:t>
      </w:r>
      <w:proofErr w:type="gramEnd"/>
      <w:r w:rsidRPr="00113467">
        <w:rPr>
          <w:rFonts w:ascii="Times New Roman" w:eastAsia="Times New Roman" w:hAnsi="Times New Roman" w:cs="Times New Roman"/>
          <w:sz w:val="24"/>
          <w:szCs w:val="24"/>
        </w:rPr>
        <w:t xml:space="preserve"> </w:t>
      </w:r>
      <w:hyperlink r:id="rId16" w:history="1">
        <w:r w:rsidRPr="00113467">
          <w:rPr>
            <w:rFonts w:ascii="Times New Roman" w:eastAsia="Times New Roman" w:hAnsi="Times New Roman" w:cs="Times New Roman"/>
            <w:color w:val="0000FF"/>
            <w:sz w:val="24"/>
            <w:szCs w:val="24"/>
            <w:u w:val="single"/>
          </w:rPr>
          <w:t>https://www.iea.org/reports/energy-technology-perspectives-2024</w:t>
        </w:r>
      </w:hyperlink>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xml:space="preserve">IEEFA (Institute for Energy Economics and Financial Analysis). (2022). Carbon capture: Expensive, ineffective, and falling short of promises. </w:t>
      </w:r>
      <w:proofErr w:type="gramStart"/>
      <w:r w:rsidRPr="00113467">
        <w:rPr>
          <w:rFonts w:ascii="Times New Roman" w:eastAsia="Times New Roman" w:hAnsi="Times New Roman" w:cs="Times New Roman"/>
          <w:sz w:val="24"/>
          <w:szCs w:val="24"/>
        </w:rPr>
        <w:t>IEEFA Briefing Note.</w:t>
      </w:r>
      <w:proofErr w:type="gramEnd"/>
      <w:r w:rsidRPr="00113467">
        <w:rPr>
          <w:rFonts w:ascii="Times New Roman" w:eastAsia="Times New Roman" w:hAnsi="Times New Roman" w:cs="Times New Roman"/>
          <w:sz w:val="24"/>
          <w:szCs w:val="24"/>
        </w:rPr>
        <w:t xml:space="preserve"> </w:t>
      </w:r>
      <w:hyperlink r:id="rId17" w:history="1">
        <w:r w:rsidRPr="00113467">
          <w:rPr>
            <w:rFonts w:ascii="Times New Roman" w:eastAsia="Times New Roman" w:hAnsi="Times New Roman" w:cs="Times New Roman"/>
            <w:color w:val="0000FF"/>
            <w:sz w:val="24"/>
            <w:szCs w:val="24"/>
            <w:u w:val="single"/>
          </w:rPr>
          <w:t>https://ieefa.org/resources/carbon-capture-expensive-ineffective-and-falling-short-promises</w:t>
        </w:r>
      </w:hyperlink>
    </w:p>
    <w:p w:rsidR="00113467" w:rsidRPr="00113467" w:rsidRDefault="00113467" w:rsidP="00113467">
      <w:pPr>
        <w:spacing w:after="120"/>
        <w:jc w:val="both"/>
        <w:rPr>
          <w:rFonts w:ascii="Times New Roman" w:eastAsia="Times New Roman" w:hAnsi="Times New Roman" w:cs="Times New Roman"/>
          <w:sz w:val="24"/>
          <w:szCs w:val="24"/>
        </w:rPr>
      </w:pPr>
      <w:proofErr w:type="gramStart"/>
      <w:r w:rsidRPr="00113467">
        <w:rPr>
          <w:rFonts w:ascii="Times New Roman" w:eastAsia="Times New Roman" w:hAnsi="Times New Roman" w:cs="Times New Roman"/>
          <w:sz w:val="24"/>
          <w:szCs w:val="24"/>
        </w:rPr>
        <w:t>IPCC (Intergovernmental Panel on Climate Change).</w:t>
      </w:r>
      <w:proofErr w:type="gramEnd"/>
      <w:r w:rsidRPr="00113467">
        <w:rPr>
          <w:rFonts w:ascii="Times New Roman" w:eastAsia="Times New Roman" w:hAnsi="Times New Roman" w:cs="Times New Roman"/>
          <w:sz w:val="24"/>
          <w:szCs w:val="24"/>
        </w:rPr>
        <w:t xml:space="preserve"> (2022). Climate change 2022: Mitigation of climate change. </w:t>
      </w:r>
      <w:proofErr w:type="gramStart"/>
      <w:r w:rsidRPr="00113467">
        <w:rPr>
          <w:rFonts w:ascii="Times New Roman" w:eastAsia="Times New Roman" w:hAnsi="Times New Roman" w:cs="Times New Roman"/>
          <w:sz w:val="24"/>
          <w:szCs w:val="24"/>
        </w:rPr>
        <w:t>Contribution of Working Group III to the Sixth Assessment Report.</w:t>
      </w:r>
      <w:proofErr w:type="gramEnd"/>
      <w:r w:rsidRPr="00113467">
        <w:rPr>
          <w:rFonts w:ascii="Times New Roman" w:eastAsia="Times New Roman" w:hAnsi="Times New Roman" w:cs="Times New Roman"/>
          <w:sz w:val="24"/>
          <w:szCs w:val="24"/>
        </w:rPr>
        <w:t xml:space="preserve"> </w:t>
      </w:r>
      <w:proofErr w:type="gramStart"/>
      <w:r w:rsidRPr="00113467">
        <w:rPr>
          <w:rFonts w:ascii="Times New Roman" w:eastAsia="Times New Roman" w:hAnsi="Times New Roman" w:cs="Times New Roman"/>
          <w:sz w:val="24"/>
          <w:szCs w:val="24"/>
        </w:rPr>
        <w:t>Cambridge University Press.</w:t>
      </w:r>
      <w:proofErr w:type="gramEnd"/>
      <w:r w:rsidRPr="00113467">
        <w:rPr>
          <w:rFonts w:ascii="Times New Roman" w:eastAsia="Times New Roman" w:hAnsi="Times New Roman" w:cs="Times New Roman"/>
          <w:sz w:val="24"/>
          <w:szCs w:val="24"/>
        </w:rPr>
        <w:t xml:space="preserve"> </w:t>
      </w:r>
      <w:hyperlink r:id="rId18" w:history="1">
        <w:r w:rsidRPr="00113467">
          <w:rPr>
            <w:rFonts w:ascii="Times New Roman" w:eastAsia="Times New Roman" w:hAnsi="Times New Roman" w:cs="Times New Roman"/>
            <w:color w:val="0000FF"/>
            <w:sz w:val="24"/>
            <w:szCs w:val="24"/>
            <w:u w:val="single"/>
          </w:rPr>
          <w:t>https://www.ipcc.ch/report/ar6/wg3/</w:t>
        </w:r>
      </w:hyperlink>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xml:space="preserve">IRENA (International Renewable Energy Agency). (2022). Innovation outlook: Renewable methanol. </w:t>
      </w:r>
      <w:proofErr w:type="gramStart"/>
      <w:r w:rsidRPr="00113467">
        <w:rPr>
          <w:rFonts w:ascii="Times New Roman" w:eastAsia="Times New Roman" w:hAnsi="Times New Roman" w:cs="Times New Roman"/>
          <w:sz w:val="24"/>
          <w:szCs w:val="24"/>
        </w:rPr>
        <w:t>IRENA.</w:t>
      </w:r>
      <w:proofErr w:type="gramEnd"/>
      <w:r w:rsidRPr="00113467">
        <w:rPr>
          <w:rFonts w:ascii="Times New Roman" w:eastAsia="Times New Roman" w:hAnsi="Times New Roman" w:cs="Times New Roman"/>
          <w:sz w:val="24"/>
          <w:szCs w:val="24"/>
        </w:rPr>
        <w:t xml:space="preserve"> </w:t>
      </w:r>
      <w:hyperlink r:id="rId19" w:history="1">
        <w:r w:rsidRPr="00113467">
          <w:rPr>
            <w:rFonts w:ascii="Times New Roman" w:eastAsia="Times New Roman" w:hAnsi="Times New Roman" w:cs="Times New Roman"/>
            <w:color w:val="0000FF"/>
            <w:sz w:val="24"/>
            <w:szCs w:val="24"/>
            <w:u w:val="single"/>
          </w:rPr>
          <w:t>https://www.irena.org/publications/2022/Jan/Innovation-Outlook-Renewable-Methanol</w:t>
        </w:r>
      </w:hyperlink>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xml:space="preserve">IRENA (International Renewable Energy Agency). </w:t>
      </w:r>
      <w:proofErr w:type="gramStart"/>
      <w:r w:rsidRPr="00113467">
        <w:rPr>
          <w:rFonts w:ascii="Times New Roman" w:eastAsia="Times New Roman" w:hAnsi="Times New Roman" w:cs="Times New Roman"/>
          <w:sz w:val="24"/>
          <w:szCs w:val="24"/>
        </w:rPr>
        <w:t>(2023). World energy transitions outlook 2023: 1.5°C pathway.</w:t>
      </w:r>
      <w:proofErr w:type="gramEnd"/>
      <w:r w:rsidRPr="00113467">
        <w:rPr>
          <w:rFonts w:ascii="Times New Roman" w:eastAsia="Times New Roman" w:hAnsi="Times New Roman" w:cs="Times New Roman"/>
          <w:sz w:val="24"/>
          <w:szCs w:val="24"/>
        </w:rPr>
        <w:t xml:space="preserve"> </w:t>
      </w:r>
      <w:proofErr w:type="gramStart"/>
      <w:r w:rsidRPr="00113467">
        <w:rPr>
          <w:rFonts w:ascii="Times New Roman" w:eastAsia="Times New Roman" w:hAnsi="Times New Roman" w:cs="Times New Roman"/>
          <w:sz w:val="24"/>
          <w:szCs w:val="24"/>
        </w:rPr>
        <w:t>IRENA.</w:t>
      </w:r>
      <w:proofErr w:type="gramEnd"/>
      <w:r w:rsidRPr="00113467">
        <w:rPr>
          <w:rFonts w:ascii="Times New Roman" w:eastAsia="Times New Roman" w:hAnsi="Times New Roman" w:cs="Times New Roman"/>
          <w:sz w:val="24"/>
          <w:szCs w:val="24"/>
        </w:rPr>
        <w:t xml:space="preserve"> </w:t>
      </w:r>
      <w:hyperlink r:id="rId20" w:history="1">
        <w:r w:rsidRPr="00113467">
          <w:rPr>
            <w:rFonts w:ascii="Times New Roman" w:eastAsia="Times New Roman" w:hAnsi="Times New Roman" w:cs="Times New Roman"/>
            <w:color w:val="0000FF"/>
            <w:sz w:val="24"/>
            <w:szCs w:val="24"/>
            <w:u w:val="single"/>
          </w:rPr>
          <w:t>https://www.irena.org/publications/2023/Jun/World-Energy-Transitions-Outlook-2023</w:t>
        </w:r>
      </w:hyperlink>
    </w:p>
    <w:p w:rsidR="00113467" w:rsidRPr="00113467" w:rsidRDefault="00113467" w:rsidP="00113467">
      <w:pPr>
        <w:spacing w:after="120"/>
        <w:jc w:val="both"/>
        <w:rPr>
          <w:rFonts w:ascii="Times New Roman" w:eastAsia="Times New Roman" w:hAnsi="Times New Roman" w:cs="Times New Roman"/>
          <w:sz w:val="24"/>
          <w:szCs w:val="24"/>
        </w:rPr>
      </w:pPr>
      <w:proofErr w:type="gramStart"/>
      <w:r w:rsidRPr="00113467">
        <w:rPr>
          <w:rFonts w:ascii="Times New Roman" w:eastAsia="Times New Roman" w:hAnsi="Times New Roman" w:cs="Times New Roman"/>
          <w:sz w:val="24"/>
          <w:szCs w:val="24"/>
        </w:rPr>
        <w:t>ISO (International Organization for Standardization).</w:t>
      </w:r>
      <w:proofErr w:type="gramEnd"/>
      <w:r w:rsidRPr="00113467">
        <w:rPr>
          <w:rFonts w:ascii="Times New Roman" w:eastAsia="Times New Roman" w:hAnsi="Times New Roman" w:cs="Times New Roman"/>
          <w:sz w:val="24"/>
          <w:szCs w:val="24"/>
        </w:rPr>
        <w:t xml:space="preserve"> (2023). ISO 14067:2023 Greenhouse gases—Carbon footprint of products—Requirements and guidelines for quantification. </w:t>
      </w:r>
      <w:proofErr w:type="gramStart"/>
      <w:r w:rsidRPr="00113467">
        <w:rPr>
          <w:rFonts w:ascii="Times New Roman" w:eastAsia="Times New Roman" w:hAnsi="Times New Roman" w:cs="Times New Roman"/>
          <w:sz w:val="24"/>
          <w:szCs w:val="24"/>
        </w:rPr>
        <w:t>ISO.</w:t>
      </w:r>
      <w:proofErr w:type="gramEnd"/>
      <w:r w:rsidRPr="00113467">
        <w:rPr>
          <w:rFonts w:ascii="Times New Roman" w:eastAsia="Times New Roman" w:hAnsi="Times New Roman" w:cs="Times New Roman"/>
          <w:sz w:val="24"/>
          <w:szCs w:val="24"/>
        </w:rPr>
        <w:t xml:space="preserve"> </w:t>
      </w:r>
      <w:hyperlink r:id="rId21" w:history="1">
        <w:r w:rsidRPr="00113467">
          <w:rPr>
            <w:rFonts w:ascii="Times New Roman" w:eastAsia="Times New Roman" w:hAnsi="Times New Roman" w:cs="Times New Roman"/>
            <w:color w:val="0000FF"/>
            <w:sz w:val="24"/>
            <w:szCs w:val="24"/>
            <w:u w:val="single"/>
          </w:rPr>
          <w:t>https://www.iso.org/standard/71206.html</w:t>
        </w:r>
      </w:hyperlink>
    </w:p>
    <w:p w:rsidR="00113467" w:rsidRPr="00113467" w:rsidRDefault="00113467" w:rsidP="00113467">
      <w:pPr>
        <w:spacing w:after="120"/>
        <w:jc w:val="both"/>
        <w:rPr>
          <w:rFonts w:ascii="Times New Roman" w:eastAsia="Times New Roman" w:hAnsi="Times New Roman" w:cs="Times New Roman"/>
          <w:sz w:val="24"/>
          <w:szCs w:val="24"/>
        </w:rPr>
      </w:pPr>
      <w:proofErr w:type="gramStart"/>
      <w:r w:rsidRPr="00113467">
        <w:rPr>
          <w:rFonts w:ascii="Times New Roman" w:eastAsia="Times New Roman" w:hAnsi="Times New Roman" w:cs="Times New Roman"/>
          <w:sz w:val="24"/>
          <w:szCs w:val="24"/>
        </w:rPr>
        <w:t>Li, K., Zhang, X., &amp; Wang, M. (2023).</w:t>
      </w:r>
      <w:proofErr w:type="gramEnd"/>
      <w:r w:rsidRPr="00113467">
        <w:rPr>
          <w:rFonts w:ascii="Times New Roman" w:eastAsia="Times New Roman" w:hAnsi="Times New Roman" w:cs="Times New Roman"/>
          <w:sz w:val="24"/>
          <w:szCs w:val="24"/>
        </w:rPr>
        <w:t xml:space="preserve"> Advanced amine solvents for post-combustion CO₂ capture: Recent progress and techno-economic assessment. Energy &amp; Environmental Science, 16(4), 1450–1478. </w:t>
      </w:r>
      <w:hyperlink r:id="rId22" w:history="1">
        <w:r w:rsidRPr="00113467">
          <w:rPr>
            <w:rFonts w:ascii="Times New Roman" w:eastAsia="Times New Roman" w:hAnsi="Times New Roman" w:cs="Times New Roman"/>
            <w:color w:val="0000FF"/>
            <w:sz w:val="24"/>
            <w:szCs w:val="24"/>
            <w:u w:val="single"/>
          </w:rPr>
          <w:t>https://doi.org/10.1039/D2EE03890A</w:t>
        </w:r>
      </w:hyperlink>
    </w:p>
    <w:p w:rsidR="00113467" w:rsidRPr="00113467" w:rsidRDefault="00113467" w:rsidP="00113467">
      <w:pPr>
        <w:spacing w:after="120"/>
        <w:jc w:val="both"/>
        <w:rPr>
          <w:rFonts w:ascii="Times New Roman" w:eastAsia="Times New Roman" w:hAnsi="Times New Roman" w:cs="Times New Roman"/>
          <w:sz w:val="24"/>
          <w:szCs w:val="24"/>
        </w:rPr>
      </w:pPr>
      <w:proofErr w:type="gramStart"/>
      <w:r w:rsidRPr="00113467">
        <w:rPr>
          <w:rFonts w:ascii="Times New Roman" w:eastAsia="Times New Roman" w:hAnsi="Times New Roman" w:cs="Times New Roman"/>
          <w:sz w:val="24"/>
          <w:szCs w:val="24"/>
        </w:rPr>
        <w:t>Ministry of Energy Saudi Arabia.</w:t>
      </w:r>
      <w:proofErr w:type="gramEnd"/>
      <w:r w:rsidRPr="00113467">
        <w:rPr>
          <w:rFonts w:ascii="Times New Roman" w:eastAsia="Times New Roman" w:hAnsi="Times New Roman" w:cs="Times New Roman"/>
          <w:sz w:val="24"/>
          <w:szCs w:val="24"/>
        </w:rPr>
        <w:t xml:space="preserve"> </w:t>
      </w:r>
      <w:proofErr w:type="gramStart"/>
      <w:r w:rsidRPr="00113467">
        <w:rPr>
          <w:rFonts w:ascii="Times New Roman" w:eastAsia="Times New Roman" w:hAnsi="Times New Roman" w:cs="Times New Roman"/>
          <w:sz w:val="24"/>
          <w:szCs w:val="24"/>
        </w:rPr>
        <w:t>(2020). Circular Carbon Economy national framework.</w:t>
      </w:r>
      <w:proofErr w:type="gramEnd"/>
      <w:r w:rsidRPr="00113467">
        <w:rPr>
          <w:rFonts w:ascii="Times New Roman" w:eastAsia="Times New Roman" w:hAnsi="Times New Roman" w:cs="Times New Roman"/>
          <w:sz w:val="24"/>
          <w:szCs w:val="24"/>
        </w:rPr>
        <w:t xml:space="preserve"> </w:t>
      </w:r>
      <w:proofErr w:type="gramStart"/>
      <w:r w:rsidRPr="00113467">
        <w:rPr>
          <w:rFonts w:ascii="Times New Roman" w:eastAsia="Times New Roman" w:hAnsi="Times New Roman" w:cs="Times New Roman"/>
          <w:sz w:val="24"/>
          <w:szCs w:val="24"/>
        </w:rPr>
        <w:t>Kingdom of Saudi Arabia.</w:t>
      </w:r>
      <w:proofErr w:type="gramEnd"/>
      <w:r w:rsidRPr="00113467">
        <w:rPr>
          <w:rFonts w:ascii="Times New Roman" w:eastAsia="Times New Roman" w:hAnsi="Times New Roman" w:cs="Times New Roman"/>
          <w:sz w:val="24"/>
          <w:szCs w:val="24"/>
        </w:rPr>
        <w:t xml:space="preserve"> </w:t>
      </w:r>
      <w:hyperlink r:id="rId23" w:history="1">
        <w:r w:rsidRPr="00113467">
          <w:rPr>
            <w:rFonts w:ascii="Times New Roman" w:eastAsia="Times New Roman" w:hAnsi="Times New Roman" w:cs="Times New Roman"/>
            <w:color w:val="0000FF"/>
            <w:sz w:val="24"/>
            <w:szCs w:val="24"/>
            <w:u w:val="single"/>
          </w:rPr>
          <w:t>https://www.moenergy.gov.sa/</w:t>
        </w:r>
      </w:hyperlink>
    </w:p>
    <w:p w:rsidR="00113467" w:rsidRPr="00113467" w:rsidRDefault="00113467" w:rsidP="00113467">
      <w:pPr>
        <w:spacing w:after="120"/>
        <w:jc w:val="both"/>
        <w:rPr>
          <w:rFonts w:ascii="Times New Roman" w:eastAsia="Times New Roman" w:hAnsi="Times New Roman" w:cs="Times New Roman"/>
          <w:sz w:val="24"/>
          <w:szCs w:val="24"/>
        </w:rPr>
      </w:pPr>
      <w:r w:rsidRPr="00113467">
        <w:rPr>
          <w:rFonts w:ascii="Times New Roman" w:eastAsia="Times New Roman" w:hAnsi="Times New Roman" w:cs="Times New Roman"/>
          <w:sz w:val="24"/>
          <w:szCs w:val="24"/>
        </w:rPr>
        <w:t xml:space="preserve">NET Power. (2023). The </w:t>
      </w:r>
      <w:proofErr w:type="spellStart"/>
      <w:r w:rsidRPr="00113467">
        <w:rPr>
          <w:rFonts w:ascii="Times New Roman" w:eastAsia="Times New Roman" w:hAnsi="Times New Roman" w:cs="Times New Roman"/>
          <w:sz w:val="24"/>
          <w:szCs w:val="24"/>
        </w:rPr>
        <w:t>Allam-Fetvedt</w:t>
      </w:r>
      <w:proofErr w:type="spellEnd"/>
      <w:r w:rsidRPr="00113467">
        <w:rPr>
          <w:rFonts w:ascii="Times New Roman" w:eastAsia="Times New Roman" w:hAnsi="Times New Roman" w:cs="Times New Roman"/>
          <w:sz w:val="24"/>
          <w:szCs w:val="24"/>
        </w:rPr>
        <w:t xml:space="preserve"> cycle: Demonstration results and commercial pathway. NET Power LLC. </w:t>
      </w:r>
      <w:hyperlink r:id="rId24" w:history="1">
        <w:r w:rsidRPr="00113467">
          <w:rPr>
            <w:rFonts w:ascii="Times New Roman" w:eastAsia="Times New Roman" w:hAnsi="Times New Roman" w:cs="Times New Roman"/>
            <w:color w:val="0000FF"/>
            <w:sz w:val="24"/>
            <w:szCs w:val="24"/>
            <w:u w:val="single"/>
          </w:rPr>
          <w:t>https://www.netpower.com/</w:t>
        </w:r>
      </w:hyperlink>
    </w:p>
    <w:p w:rsidR="00113467" w:rsidRPr="00113467" w:rsidRDefault="00113467" w:rsidP="00113467">
      <w:pPr>
        <w:spacing w:after="120"/>
        <w:jc w:val="both"/>
        <w:rPr>
          <w:rFonts w:ascii="Times New Roman" w:eastAsia="Times New Roman" w:hAnsi="Times New Roman" w:cs="Times New Roman"/>
          <w:sz w:val="24"/>
          <w:szCs w:val="24"/>
        </w:rPr>
      </w:pPr>
      <w:proofErr w:type="gramStart"/>
      <w:r w:rsidRPr="00113467">
        <w:rPr>
          <w:rFonts w:ascii="Times New Roman" w:eastAsia="Times New Roman" w:hAnsi="Times New Roman" w:cs="Times New Roman"/>
          <w:sz w:val="24"/>
          <w:szCs w:val="24"/>
        </w:rPr>
        <w:lastRenderedPageBreak/>
        <w:t>Rubin, E. S., Davison, J. E., &amp; Herzog, H. J. (2023).</w:t>
      </w:r>
      <w:proofErr w:type="gramEnd"/>
      <w:r w:rsidRPr="00113467">
        <w:rPr>
          <w:rFonts w:ascii="Times New Roman" w:eastAsia="Times New Roman" w:hAnsi="Times New Roman" w:cs="Times New Roman"/>
          <w:sz w:val="24"/>
          <w:szCs w:val="24"/>
        </w:rPr>
        <w:t xml:space="preserve"> </w:t>
      </w:r>
      <w:proofErr w:type="gramStart"/>
      <w:r w:rsidRPr="00113467">
        <w:rPr>
          <w:rFonts w:ascii="Times New Roman" w:eastAsia="Times New Roman" w:hAnsi="Times New Roman" w:cs="Times New Roman"/>
          <w:sz w:val="24"/>
          <w:szCs w:val="24"/>
        </w:rPr>
        <w:t>The cost of CO₂ capture and storage.</w:t>
      </w:r>
      <w:proofErr w:type="gramEnd"/>
      <w:r w:rsidRPr="00113467">
        <w:rPr>
          <w:rFonts w:ascii="Times New Roman" w:eastAsia="Times New Roman" w:hAnsi="Times New Roman" w:cs="Times New Roman"/>
          <w:sz w:val="24"/>
          <w:szCs w:val="24"/>
        </w:rPr>
        <w:t xml:space="preserve"> </w:t>
      </w:r>
      <w:proofErr w:type="gramStart"/>
      <w:r w:rsidRPr="00113467">
        <w:rPr>
          <w:rFonts w:ascii="Times New Roman" w:eastAsia="Times New Roman" w:hAnsi="Times New Roman" w:cs="Times New Roman"/>
          <w:sz w:val="24"/>
          <w:szCs w:val="24"/>
        </w:rPr>
        <w:t>International Journal of Greenhouse Gas Control, 123, 103835.</w:t>
      </w:r>
      <w:proofErr w:type="gramEnd"/>
      <w:r w:rsidRPr="00113467">
        <w:rPr>
          <w:rFonts w:ascii="Times New Roman" w:eastAsia="Times New Roman" w:hAnsi="Times New Roman" w:cs="Times New Roman"/>
          <w:sz w:val="24"/>
          <w:szCs w:val="24"/>
        </w:rPr>
        <w:t xml:space="preserve"> </w:t>
      </w:r>
      <w:hyperlink r:id="rId25" w:history="1">
        <w:r w:rsidRPr="00113467">
          <w:rPr>
            <w:rFonts w:ascii="Times New Roman" w:eastAsia="Times New Roman" w:hAnsi="Times New Roman" w:cs="Times New Roman"/>
            <w:color w:val="0000FF"/>
            <w:sz w:val="24"/>
            <w:szCs w:val="24"/>
            <w:u w:val="single"/>
          </w:rPr>
          <w:t>https://doi.org/10.1016/j.ijggc.2023.103835</w:t>
        </w:r>
      </w:hyperlink>
    </w:p>
    <w:p w:rsidR="00113467" w:rsidRPr="00113467" w:rsidRDefault="00113467" w:rsidP="00113467">
      <w:pPr>
        <w:spacing w:after="120"/>
        <w:jc w:val="both"/>
        <w:rPr>
          <w:rFonts w:ascii="Times New Roman" w:eastAsia="Times New Roman" w:hAnsi="Times New Roman" w:cs="Times New Roman"/>
          <w:sz w:val="24"/>
          <w:szCs w:val="24"/>
        </w:rPr>
      </w:pPr>
      <w:proofErr w:type="gramStart"/>
      <w:r w:rsidRPr="00113467">
        <w:rPr>
          <w:rFonts w:ascii="Times New Roman" w:eastAsia="Times New Roman" w:hAnsi="Times New Roman" w:cs="Times New Roman"/>
          <w:sz w:val="24"/>
          <w:szCs w:val="24"/>
        </w:rPr>
        <w:t xml:space="preserve">Saudi </w:t>
      </w:r>
      <w:proofErr w:type="spellStart"/>
      <w:r w:rsidRPr="00113467">
        <w:rPr>
          <w:rFonts w:ascii="Times New Roman" w:eastAsia="Times New Roman" w:hAnsi="Times New Roman" w:cs="Times New Roman"/>
          <w:sz w:val="24"/>
          <w:szCs w:val="24"/>
        </w:rPr>
        <w:t>Aramco</w:t>
      </w:r>
      <w:proofErr w:type="spellEnd"/>
      <w:r w:rsidRPr="00113467">
        <w:rPr>
          <w:rFonts w:ascii="Times New Roman" w:eastAsia="Times New Roman" w:hAnsi="Times New Roman" w:cs="Times New Roman"/>
          <w:sz w:val="24"/>
          <w:szCs w:val="24"/>
        </w:rPr>
        <w:t>.</w:t>
      </w:r>
      <w:proofErr w:type="gramEnd"/>
      <w:r w:rsidRPr="00113467">
        <w:rPr>
          <w:rFonts w:ascii="Times New Roman" w:eastAsia="Times New Roman" w:hAnsi="Times New Roman" w:cs="Times New Roman"/>
          <w:sz w:val="24"/>
          <w:szCs w:val="24"/>
        </w:rPr>
        <w:t xml:space="preserve"> (2023). Sustainability report 2023: Carbon capture and circular carbon economy initiatives. Saudi Arabian Oil Company. </w:t>
      </w:r>
      <w:hyperlink r:id="rId26" w:history="1">
        <w:r w:rsidRPr="00113467">
          <w:rPr>
            <w:rFonts w:ascii="Times New Roman" w:eastAsia="Times New Roman" w:hAnsi="Times New Roman" w:cs="Times New Roman"/>
            <w:color w:val="0000FF"/>
            <w:sz w:val="24"/>
            <w:szCs w:val="24"/>
            <w:u w:val="single"/>
          </w:rPr>
          <w:t>https://www.aramco.com/en/sustainability/sustainability-report</w:t>
        </w:r>
      </w:hyperlink>
    </w:p>
    <w:p w:rsidR="00113467" w:rsidRPr="00113467" w:rsidRDefault="00113467" w:rsidP="00113467">
      <w:pPr>
        <w:spacing w:after="120"/>
        <w:jc w:val="both"/>
        <w:rPr>
          <w:rFonts w:ascii="Times New Roman" w:eastAsia="Times New Roman" w:hAnsi="Times New Roman" w:cs="Times New Roman"/>
          <w:sz w:val="24"/>
          <w:szCs w:val="24"/>
        </w:rPr>
      </w:pPr>
      <w:proofErr w:type="gramStart"/>
      <w:r w:rsidRPr="00113467">
        <w:rPr>
          <w:rFonts w:ascii="Times New Roman" w:eastAsia="Times New Roman" w:hAnsi="Times New Roman" w:cs="Times New Roman"/>
          <w:sz w:val="24"/>
          <w:szCs w:val="24"/>
        </w:rPr>
        <w:t xml:space="preserve">Saudi </w:t>
      </w:r>
      <w:proofErr w:type="spellStart"/>
      <w:r w:rsidRPr="00113467">
        <w:rPr>
          <w:rFonts w:ascii="Times New Roman" w:eastAsia="Times New Roman" w:hAnsi="Times New Roman" w:cs="Times New Roman"/>
          <w:sz w:val="24"/>
          <w:szCs w:val="24"/>
        </w:rPr>
        <w:t>Aramco</w:t>
      </w:r>
      <w:proofErr w:type="spellEnd"/>
      <w:r w:rsidRPr="00113467">
        <w:rPr>
          <w:rFonts w:ascii="Times New Roman" w:eastAsia="Times New Roman" w:hAnsi="Times New Roman" w:cs="Times New Roman"/>
          <w:sz w:val="24"/>
          <w:szCs w:val="24"/>
        </w:rPr>
        <w:t>.</w:t>
      </w:r>
      <w:proofErr w:type="gramEnd"/>
      <w:r w:rsidRPr="00113467">
        <w:rPr>
          <w:rFonts w:ascii="Times New Roman" w:eastAsia="Times New Roman" w:hAnsi="Times New Roman" w:cs="Times New Roman"/>
          <w:sz w:val="24"/>
          <w:szCs w:val="24"/>
        </w:rPr>
        <w:t xml:space="preserve"> (2024). </w:t>
      </w:r>
      <w:proofErr w:type="spellStart"/>
      <w:r w:rsidRPr="00113467">
        <w:rPr>
          <w:rFonts w:ascii="Times New Roman" w:eastAsia="Times New Roman" w:hAnsi="Times New Roman" w:cs="Times New Roman"/>
          <w:sz w:val="24"/>
          <w:szCs w:val="24"/>
        </w:rPr>
        <w:t>Jubail</w:t>
      </w:r>
      <w:proofErr w:type="spellEnd"/>
      <w:r w:rsidRPr="00113467">
        <w:rPr>
          <w:rFonts w:ascii="Times New Roman" w:eastAsia="Times New Roman" w:hAnsi="Times New Roman" w:cs="Times New Roman"/>
          <w:sz w:val="24"/>
          <w:szCs w:val="24"/>
        </w:rPr>
        <w:t xml:space="preserve"> CCS hub: Advancing industrial </w:t>
      </w:r>
      <w:proofErr w:type="spellStart"/>
      <w:r w:rsidRPr="00113467">
        <w:rPr>
          <w:rFonts w:ascii="Times New Roman" w:eastAsia="Times New Roman" w:hAnsi="Times New Roman" w:cs="Times New Roman"/>
          <w:sz w:val="24"/>
          <w:szCs w:val="24"/>
        </w:rPr>
        <w:t>decarbonization</w:t>
      </w:r>
      <w:proofErr w:type="spellEnd"/>
      <w:r w:rsidRPr="00113467">
        <w:rPr>
          <w:rFonts w:ascii="Times New Roman" w:eastAsia="Times New Roman" w:hAnsi="Times New Roman" w:cs="Times New Roman"/>
          <w:sz w:val="24"/>
          <w:szCs w:val="24"/>
        </w:rPr>
        <w:t xml:space="preserve"> at scale. Saudi Arabian Oil Company. </w:t>
      </w:r>
      <w:hyperlink r:id="rId27" w:history="1">
        <w:r w:rsidRPr="00113467">
          <w:rPr>
            <w:rFonts w:ascii="Times New Roman" w:eastAsia="Times New Roman" w:hAnsi="Times New Roman" w:cs="Times New Roman"/>
            <w:color w:val="0000FF"/>
            <w:sz w:val="24"/>
            <w:szCs w:val="24"/>
            <w:u w:val="single"/>
          </w:rPr>
          <w:t>https://www.aramco.com/en/creating-value/technology-development/carbon-management</w:t>
        </w:r>
      </w:hyperlink>
    </w:p>
    <w:p w:rsidR="00113467" w:rsidRPr="00113467" w:rsidRDefault="00113467" w:rsidP="00113467">
      <w:pPr>
        <w:spacing w:after="120"/>
        <w:jc w:val="both"/>
        <w:rPr>
          <w:rFonts w:ascii="Times New Roman" w:eastAsia="Times New Roman" w:hAnsi="Times New Roman" w:cs="Times New Roman"/>
          <w:sz w:val="24"/>
          <w:szCs w:val="24"/>
        </w:rPr>
      </w:pPr>
      <w:proofErr w:type="gramStart"/>
      <w:r w:rsidRPr="00113467">
        <w:rPr>
          <w:rFonts w:ascii="Times New Roman" w:eastAsia="Times New Roman" w:hAnsi="Times New Roman" w:cs="Times New Roman"/>
          <w:sz w:val="24"/>
          <w:szCs w:val="24"/>
        </w:rPr>
        <w:t>Saudi Green Initiative.</w:t>
      </w:r>
      <w:proofErr w:type="gramEnd"/>
      <w:r w:rsidRPr="00113467">
        <w:rPr>
          <w:rFonts w:ascii="Times New Roman" w:eastAsia="Times New Roman" w:hAnsi="Times New Roman" w:cs="Times New Roman"/>
          <w:sz w:val="24"/>
          <w:szCs w:val="24"/>
        </w:rPr>
        <w:t xml:space="preserve"> (2023). Saudi Green Initiative: Progress report 2023. </w:t>
      </w:r>
      <w:proofErr w:type="gramStart"/>
      <w:r w:rsidRPr="00113467">
        <w:rPr>
          <w:rFonts w:ascii="Times New Roman" w:eastAsia="Times New Roman" w:hAnsi="Times New Roman" w:cs="Times New Roman"/>
          <w:sz w:val="24"/>
          <w:szCs w:val="24"/>
        </w:rPr>
        <w:t>Saudi Green Initiative.</w:t>
      </w:r>
      <w:proofErr w:type="gramEnd"/>
      <w:r w:rsidRPr="00113467">
        <w:rPr>
          <w:rFonts w:ascii="Times New Roman" w:eastAsia="Times New Roman" w:hAnsi="Times New Roman" w:cs="Times New Roman"/>
          <w:sz w:val="24"/>
          <w:szCs w:val="24"/>
        </w:rPr>
        <w:t xml:space="preserve"> </w:t>
      </w:r>
      <w:hyperlink r:id="rId28" w:history="1">
        <w:r w:rsidRPr="00113467">
          <w:rPr>
            <w:rFonts w:ascii="Times New Roman" w:eastAsia="Times New Roman" w:hAnsi="Times New Roman" w:cs="Times New Roman"/>
            <w:color w:val="0000FF"/>
            <w:sz w:val="24"/>
            <w:szCs w:val="24"/>
            <w:u w:val="single"/>
          </w:rPr>
          <w:t>https://www.greeninitiatives.gov.sa/</w:t>
        </w:r>
      </w:hyperlink>
    </w:p>
    <w:p w:rsidR="00113467" w:rsidRPr="00113467" w:rsidRDefault="00113467" w:rsidP="00113467">
      <w:pPr>
        <w:spacing w:after="120"/>
        <w:jc w:val="both"/>
        <w:rPr>
          <w:rFonts w:ascii="Times New Roman" w:eastAsia="Times New Roman" w:hAnsi="Times New Roman" w:cs="Times New Roman"/>
          <w:sz w:val="24"/>
          <w:szCs w:val="24"/>
        </w:rPr>
      </w:pPr>
      <w:proofErr w:type="gramStart"/>
      <w:r w:rsidRPr="00113467">
        <w:rPr>
          <w:rFonts w:ascii="Times New Roman" w:eastAsia="Times New Roman" w:hAnsi="Times New Roman" w:cs="Times New Roman"/>
          <w:sz w:val="24"/>
          <w:szCs w:val="24"/>
        </w:rPr>
        <w:t>Vision 2030.</w:t>
      </w:r>
      <w:proofErr w:type="gramEnd"/>
      <w:r w:rsidRPr="00113467">
        <w:rPr>
          <w:rFonts w:ascii="Times New Roman" w:eastAsia="Times New Roman" w:hAnsi="Times New Roman" w:cs="Times New Roman"/>
          <w:sz w:val="24"/>
          <w:szCs w:val="24"/>
        </w:rPr>
        <w:t xml:space="preserve"> (2023). Saudi Vision 2030: Energy sector transformation and hydrogen economy. </w:t>
      </w:r>
      <w:proofErr w:type="gramStart"/>
      <w:r w:rsidRPr="00113467">
        <w:rPr>
          <w:rFonts w:ascii="Times New Roman" w:eastAsia="Times New Roman" w:hAnsi="Times New Roman" w:cs="Times New Roman"/>
          <w:sz w:val="24"/>
          <w:szCs w:val="24"/>
        </w:rPr>
        <w:t>Kingdom of Saudi Arabia.</w:t>
      </w:r>
      <w:proofErr w:type="gramEnd"/>
      <w:r w:rsidRPr="00113467">
        <w:rPr>
          <w:rFonts w:ascii="Times New Roman" w:eastAsia="Times New Roman" w:hAnsi="Times New Roman" w:cs="Times New Roman"/>
          <w:sz w:val="24"/>
          <w:szCs w:val="24"/>
        </w:rPr>
        <w:t xml:space="preserve"> </w:t>
      </w:r>
      <w:hyperlink r:id="rId29" w:history="1">
        <w:r w:rsidRPr="00113467">
          <w:rPr>
            <w:rFonts w:ascii="Times New Roman" w:eastAsia="Times New Roman" w:hAnsi="Times New Roman" w:cs="Times New Roman"/>
            <w:color w:val="0000FF"/>
            <w:sz w:val="24"/>
            <w:szCs w:val="24"/>
            <w:u w:val="single"/>
          </w:rPr>
          <w:t>https://www.vision2030.gov.sa/</w:t>
        </w:r>
      </w:hyperlink>
    </w:p>
    <w:p w:rsidR="00113467" w:rsidRPr="00113467" w:rsidRDefault="00113467" w:rsidP="00113467">
      <w:pPr>
        <w:spacing w:after="120"/>
        <w:jc w:val="both"/>
        <w:rPr>
          <w:rFonts w:ascii="Times New Roman" w:eastAsia="Times New Roman" w:hAnsi="Times New Roman" w:cs="Times New Roman"/>
          <w:sz w:val="24"/>
          <w:szCs w:val="24"/>
        </w:rPr>
      </w:pPr>
      <w:proofErr w:type="gramStart"/>
      <w:r w:rsidRPr="00113467">
        <w:rPr>
          <w:rFonts w:ascii="Times New Roman" w:eastAsia="Times New Roman" w:hAnsi="Times New Roman" w:cs="Times New Roman"/>
          <w:sz w:val="24"/>
          <w:szCs w:val="24"/>
        </w:rPr>
        <w:t>Wang, Y., Chen, H., &amp; Li, J. (2024).</w:t>
      </w:r>
      <w:proofErr w:type="gramEnd"/>
      <w:r w:rsidRPr="00113467">
        <w:rPr>
          <w:rFonts w:ascii="Times New Roman" w:eastAsia="Times New Roman" w:hAnsi="Times New Roman" w:cs="Times New Roman"/>
          <w:sz w:val="24"/>
          <w:szCs w:val="24"/>
        </w:rPr>
        <w:t xml:space="preserve"> Process intensification for CO₂ capture: Rotating packed beds and modular absorber design. </w:t>
      </w:r>
      <w:proofErr w:type="gramStart"/>
      <w:r w:rsidRPr="00113467">
        <w:rPr>
          <w:rFonts w:ascii="Times New Roman" w:eastAsia="Times New Roman" w:hAnsi="Times New Roman" w:cs="Times New Roman"/>
          <w:sz w:val="24"/>
          <w:szCs w:val="24"/>
        </w:rPr>
        <w:t>Chemical Engineering Journal, 478, 147256.</w:t>
      </w:r>
      <w:proofErr w:type="gramEnd"/>
      <w:r w:rsidRPr="00113467">
        <w:rPr>
          <w:rFonts w:ascii="Times New Roman" w:eastAsia="Times New Roman" w:hAnsi="Times New Roman" w:cs="Times New Roman"/>
          <w:sz w:val="24"/>
          <w:szCs w:val="24"/>
        </w:rPr>
        <w:t xml:space="preserve"> </w:t>
      </w:r>
      <w:hyperlink r:id="rId30" w:history="1">
        <w:r w:rsidRPr="00113467">
          <w:rPr>
            <w:rFonts w:ascii="Times New Roman" w:eastAsia="Times New Roman" w:hAnsi="Times New Roman" w:cs="Times New Roman"/>
            <w:color w:val="0000FF"/>
            <w:sz w:val="24"/>
            <w:szCs w:val="24"/>
            <w:u w:val="single"/>
          </w:rPr>
          <w:t>https://doi.org/10.1016/j.cej.2023.147256</w:t>
        </w:r>
      </w:hyperlink>
    </w:p>
    <w:p w:rsidR="00113467" w:rsidRPr="00113467" w:rsidRDefault="00113467" w:rsidP="00113467">
      <w:pPr>
        <w:spacing w:after="120"/>
        <w:jc w:val="both"/>
        <w:rPr>
          <w:rFonts w:ascii="Times New Roman" w:eastAsia="Times New Roman" w:hAnsi="Times New Roman" w:cs="Times New Roman"/>
          <w:sz w:val="24"/>
          <w:szCs w:val="24"/>
        </w:rPr>
      </w:pPr>
      <w:proofErr w:type="gramStart"/>
      <w:r w:rsidRPr="00113467">
        <w:rPr>
          <w:rFonts w:ascii="Times New Roman" w:eastAsia="Times New Roman" w:hAnsi="Times New Roman" w:cs="Times New Roman"/>
          <w:sz w:val="24"/>
          <w:szCs w:val="24"/>
        </w:rPr>
        <w:t>World Bank.</w:t>
      </w:r>
      <w:proofErr w:type="gramEnd"/>
      <w:r w:rsidRPr="00113467">
        <w:rPr>
          <w:rFonts w:ascii="Times New Roman" w:eastAsia="Times New Roman" w:hAnsi="Times New Roman" w:cs="Times New Roman"/>
          <w:sz w:val="24"/>
          <w:szCs w:val="24"/>
        </w:rPr>
        <w:t xml:space="preserve"> </w:t>
      </w:r>
      <w:proofErr w:type="gramStart"/>
      <w:r w:rsidRPr="00113467">
        <w:rPr>
          <w:rFonts w:ascii="Times New Roman" w:eastAsia="Times New Roman" w:hAnsi="Times New Roman" w:cs="Times New Roman"/>
          <w:sz w:val="24"/>
          <w:szCs w:val="24"/>
        </w:rPr>
        <w:t>(2023). State and trends of carbon pricing 2023.</w:t>
      </w:r>
      <w:proofErr w:type="gramEnd"/>
      <w:r w:rsidRPr="00113467">
        <w:rPr>
          <w:rFonts w:ascii="Times New Roman" w:eastAsia="Times New Roman" w:hAnsi="Times New Roman" w:cs="Times New Roman"/>
          <w:sz w:val="24"/>
          <w:szCs w:val="24"/>
        </w:rPr>
        <w:t xml:space="preserve"> World Bank Group. </w:t>
      </w:r>
      <w:hyperlink r:id="rId31" w:history="1">
        <w:r w:rsidRPr="00113467">
          <w:rPr>
            <w:rFonts w:ascii="Times New Roman" w:eastAsia="Times New Roman" w:hAnsi="Times New Roman" w:cs="Times New Roman"/>
            <w:color w:val="0000FF"/>
            <w:sz w:val="24"/>
            <w:szCs w:val="24"/>
            <w:u w:val="single"/>
          </w:rPr>
          <w:t>https://www.worldbank.org/en/programs/pricing-carbon</w:t>
        </w:r>
      </w:hyperlink>
    </w:p>
    <w:p w:rsidR="00113467" w:rsidRDefault="00113467" w:rsidP="00113467">
      <w:pPr>
        <w:spacing w:after="120"/>
        <w:jc w:val="both"/>
        <w:rPr>
          <w:rFonts w:ascii="Times New Roman" w:eastAsia="Times New Roman" w:hAnsi="Times New Roman" w:cs="Times New Roman"/>
          <w:sz w:val="24"/>
          <w:szCs w:val="24"/>
        </w:rPr>
      </w:pPr>
      <w:proofErr w:type="gramStart"/>
      <w:r w:rsidRPr="00113467">
        <w:rPr>
          <w:rFonts w:ascii="Times New Roman" w:eastAsia="Times New Roman" w:hAnsi="Times New Roman" w:cs="Times New Roman"/>
          <w:sz w:val="24"/>
          <w:szCs w:val="24"/>
        </w:rPr>
        <w:t xml:space="preserve">Zhao, L., </w:t>
      </w:r>
      <w:proofErr w:type="spellStart"/>
      <w:r w:rsidRPr="00113467">
        <w:rPr>
          <w:rFonts w:ascii="Times New Roman" w:eastAsia="Times New Roman" w:hAnsi="Times New Roman" w:cs="Times New Roman"/>
          <w:sz w:val="24"/>
          <w:szCs w:val="24"/>
        </w:rPr>
        <w:t>Riensche</w:t>
      </w:r>
      <w:proofErr w:type="spellEnd"/>
      <w:r w:rsidRPr="00113467">
        <w:rPr>
          <w:rFonts w:ascii="Times New Roman" w:eastAsia="Times New Roman" w:hAnsi="Times New Roman" w:cs="Times New Roman"/>
          <w:sz w:val="24"/>
          <w:szCs w:val="24"/>
        </w:rPr>
        <w:t>, E., &amp; Blum, L. (2023).</w:t>
      </w:r>
      <w:proofErr w:type="gramEnd"/>
      <w:r w:rsidRPr="00113467">
        <w:rPr>
          <w:rFonts w:ascii="Times New Roman" w:eastAsia="Times New Roman" w:hAnsi="Times New Roman" w:cs="Times New Roman"/>
          <w:sz w:val="24"/>
          <w:szCs w:val="24"/>
        </w:rPr>
        <w:t xml:space="preserve"> Hybrid chemical looping combustion combined with NGCC for natural gas power generation: Techno-economic analysis and CO₂ avoidance cost. </w:t>
      </w:r>
      <w:proofErr w:type="gramStart"/>
      <w:r w:rsidRPr="00113467">
        <w:rPr>
          <w:rFonts w:ascii="Times New Roman" w:eastAsia="Times New Roman" w:hAnsi="Times New Roman" w:cs="Times New Roman"/>
          <w:sz w:val="24"/>
          <w:szCs w:val="24"/>
        </w:rPr>
        <w:t>Applied Energy, 331, 120423.</w:t>
      </w:r>
      <w:proofErr w:type="gramEnd"/>
      <w:r w:rsidRPr="00113467">
        <w:rPr>
          <w:rFonts w:ascii="Times New Roman" w:eastAsia="Times New Roman" w:hAnsi="Times New Roman" w:cs="Times New Roman"/>
          <w:sz w:val="24"/>
          <w:szCs w:val="24"/>
        </w:rPr>
        <w:t xml:space="preserve"> </w:t>
      </w:r>
      <w:hyperlink r:id="rId32" w:history="1">
        <w:r w:rsidRPr="00113467">
          <w:rPr>
            <w:rFonts w:ascii="Times New Roman" w:eastAsia="Times New Roman" w:hAnsi="Times New Roman" w:cs="Times New Roman"/>
            <w:color w:val="0000FF"/>
            <w:sz w:val="24"/>
            <w:szCs w:val="24"/>
            <w:u w:val="single"/>
          </w:rPr>
          <w:t>https://doi.org/10.1016/j.apenergy.2022.120423</w:t>
        </w:r>
      </w:hyperlink>
    </w:p>
    <w:p w:rsidR="002D2FF4" w:rsidRDefault="002D2FF4" w:rsidP="00113467">
      <w:pPr>
        <w:spacing w:after="120"/>
        <w:jc w:val="both"/>
        <w:rPr>
          <w:rFonts w:ascii="Times New Roman" w:eastAsia="Times New Roman" w:hAnsi="Times New Roman" w:cs="Times New Roman"/>
          <w:sz w:val="24"/>
          <w:szCs w:val="24"/>
        </w:rPr>
      </w:pPr>
    </w:p>
    <w:p w:rsidR="002D2FF4" w:rsidRPr="00113467" w:rsidRDefault="00A32056" w:rsidP="00113467">
      <w:pPr>
        <w:spacing w:after="120"/>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extent cx="5943600" cy="3962400"/>
            <wp:effectExtent l="19050" t="0" r="0" b="0"/>
            <wp:docPr id="1" name="Picture 0" descr="ChatGPT Image Dec 19, 2025, 04_39_00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atGPT Image Dec 19, 2025, 04_39_00 PM.png"/>
                    <pic:cNvPicPr/>
                  </pic:nvPicPr>
                  <pic:blipFill>
                    <a:blip r:embed="rId33" cstate="print"/>
                    <a:stretch>
                      <a:fillRect/>
                    </a:stretch>
                  </pic:blipFill>
                  <pic:spPr>
                    <a:xfrm>
                      <a:off x="0" y="0"/>
                      <a:ext cx="5943600" cy="3962400"/>
                    </a:xfrm>
                    <a:prstGeom prst="rect">
                      <a:avLst/>
                    </a:prstGeom>
                  </pic:spPr>
                </pic:pic>
              </a:graphicData>
            </a:graphic>
          </wp:inline>
        </w:drawing>
      </w:r>
    </w:p>
    <w:p w:rsidR="00A9774A" w:rsidRPr="00113467" w:rsidRDefault="00E618FF" w:rsidP="00113467">
      <w:pPr>
        <w:jc w:val="both"/>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5943600" cy="3962400"/>
            <wp:effectExtent l="19050" t="0" r="0" b="0"/>
            <wp:docPr id="2" name="Picture 1" descr="ChatGPT Image Dec 19, 2025, 04_41_46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atGPT Image Dec 19, 2025, 04_41_46 PM.png"/>
                    <pic:cNvPicPr/>
                  </pic:nvPicPr>
                  <pic:blipFill>
                    <a:blip r:embed="rId34" cstate="print"/>
                    <a:stretch>
                      <a:fillRect/>
                    </a:stretch>
                  </pic:blipFill>
                  <pic:spPr>
                    <a:xfrm>
                      <a:off x="0" y="0"/>
                      <a:ext cx="5943600" cy="3962400"/>
                    </a:xfrm>
                    <a:prstGeom prst="rect">
                      <a:avLst/>
                    </a:prstGeom>
                  </pic:spPr>
                </pic:pic>
              </a:graphicData>
            </a:graphic>
          </wp:inline>
        </w:drawing>
      </w:r>
    </w:p>
    <w:sectPr w:rsidR="00A9774A" w:rsidRPr="00113467" w:rsidSect="00A9774A">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E70045"/>
    <w:multiLevelType w:val="hybridMultilevel"/>
    <w:tmpl w:val="7326E2E8"/>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5302CF5"/>
    <w:multiLevelType w:val="multilevel"/>
    <w:tmpl w:val="D792A2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70028EB"/>
    <w:multiLevelType w:val="hybridMultilevel"/>
    <w:tmpl w:val="D28009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52E453F"/>
    <w:multiLevelType w:val="multilevel"/>
    <w:tmpl w:val="68AE42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68103FA"/>
    <w:multiLevelType w:val="hybridMultilevel"/>
    <w:tmpl w:val="6F20C0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C936F1A"/>
    <w:multiLevelType w:val="hybridMultilevel"/>
    <w:tmpl w:val="17A8EA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94868D0"/>
    <w:multiLevelType w:val="hybridMultilevel"/>
    <w:tmpl w:val="A4582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B01075B"/>
    <w:multiLevelType w:val="multilevel"/>
    <w:tmpl w:val="B4EC62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2D7E0236"/>
    <w:multiLevelType w:val="multilevel"/>
    <w:tmpl w:val="0EC4B714"/>
    <w:lvl w:ilvl="0">
      <w:start w:val="1"/>
      <w:numFmt w:val="decimal"/>
      <w:lvlText w:val="%1."/>
      <w:lvlJc w:val="left"/>
      <w:pPr>
        <w:tabs>
          <w:tab w:val="num" w:pos="720"/>
        </w:tabs>
        <w:ind w:left="720" w:hanging="360"/>
      </w:pPr>
    </w:lvl>
    <w:lvl w:ilvl="1">
      <w:numFmt w:val="bullet"/>
      <w:lvlText w:val="•"/>
      <w:lvlJc w:val="left"/>
      <w:pPr>
        <w:ind w:left="1440" w:hanging="360"/>
      </w:pPr>
      <w:rPr>
        <w:rFonts w:ascii="Times New Roman" w:eastAsia="Times New Roman" w:hAnsi="Times New Roman" w:cs="Times New Roman"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2E010DAC"/>
    <w:multiLevelType w:val="hybridMultilevel"/>
    <w:tmpl w:val="7CD67C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29A720F"/>
    <w:multiLevelType w:val="multilevel"/>
    <w:tmpl w:val="F934DD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33F73AB3"/>
    <w:multiLevelType w:val="multilevel"/>
    <w:tmpl w:val="2D546A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356221D9"/>
    <w:multiLevelType w:val="hybridMultilevel"/>
    <w:tmpl w:val="501232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69B114E"/>
    <w:multiLevelType w:val="hybridMultilevel"/>
    <w:tmpl w:val="031A69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6A04F4D"/>
    <w:multiLevelType w:val="multilevel"/>
    <w:tmpl w:val="FA9E33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371612BF"/>
    <w:multiLevelType w:val="hybridMultilevel"/>
    <w:tmpl w:val="5DBC7362"/>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A77321B"/>
    <w:multiLevelType w:val="multilevel"/>
    <w:tmpl w:val="07F474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3BA32642"/>
    <w:multiLevelType w:val="hybridMultilevel"/>
    <w:tmpl w:val="ED4E57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5A03C64"/>
    <w:multiLevelType w:val="multilevel"/>
    <w:tmpl w:val="F6CA6C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4AA67B5B"/>
    <w:multiLevelType w:val="hybridMultilevel"/>
    <w:tmpl w:val="2550B9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4C0ECC"/>
    <w:multiLevelType w:val="hybridMultilevel"/>
    <w:tmpl w:val="D81C4F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1A72EB3"/>
    <w:multiLevelType w:val="multilevel"/>
    <w:tmpl w:val="A7502AC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57BE6536"/>
    <w:multiLevelType w:val="multilevel"/>
    <w:tmpl w:val="454258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58492281"/>
    <w:multiLevelType w:val="multilevel"/>
    <w:tmpl w:val="D69244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C23A08"/>
    <w:multiLevelType w:val="multilevel"/>
    <w:tmpl w:val="E8BC0F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6262158E"/>
    <w:multiLevelType w:val="hybridMultilevel"/>
    <w:tmpl w:val="E32CAD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6D660C2"/>
    <w:multiLevelType w:val="multilevel"/>
    <w:tmpl w:val="947E23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66DF458A"/>
    <w:multiLevelType w:val="multilevel"/>
    <w:tmpl w:val="286AC0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6AA330DD"/>
    <w:multiLevelType w:val="hybridMultilevel"/>
    <w:tmpl w:val="90580F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6E103687"/>
    <w:multiLevelType w:val="hybridMultilevel"/>
    <w:tmpl w:val="3F74BE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6EAB59FA"/>
    <w:multiLevelType w:val="multilevel"/>
    <w:tmpl w:val="2FCCF1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6ECC6888"/>
    <w:multiLevelType w:val="hybridMultilevel"/>
    <w:tmpl w:val="012081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9C96ED7"/>
    <w:multiLevelType w:val="multilevel"/>
    <w:tmpl w:val="16E0CF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7D5F66AF"/>
    <w:multiLevelType w:val="multilevel"/>
    <w:tmpl w:val="1354C6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1"/>
  </w:num>
  <w:num w:numId="2">
    <w:abstractNumId w:val="22"/>
  </w:num>
  <w:num w:numId="3">
    <w:abstractNumId w:val="24"/>
  </w:num>
  <w:num w:numId="4">
    <w:abstractNumId w:val="7"/>
  </w:num>
  <w:num w:numId="5">
    <w:abstractNumId w:val="14"/>
  </w:num>
  <w:num w:numId="6">
    <w:abstractNumId w:val="32"/>
  </w:num>
  <w:num w:numId="7">
    <w:abstractNumId w:val="10"/>
  </w:num>
  <w:num w:numId="8">
    <w:abstractNumId w:val="23"/>
  </w:num>
  <w:num w:numId="9">
    <w:abstractNumId w:val="18"/>
  </w:num>
  <w:num w:numId="10">
    <w:abstractNumId w:val="33"/>
  </w:num>
  <w:num w:numId="11">
    <w:abstractNumId w:val="16"/>
  </w:num>
  <w:num w:numId="12">
    <w:abstractNumId w:val="3"/>
  </w:num>
  <w:num w:numId="13">
    <w:abstractNumId w:val="1"/>
  </w:num>
  <w:num w:numId="14">
    <w:abstractNumId w:val="26"/>
  </w:num>
  <w:num w:numId="15">
    <w:abstractNumId w:val="8"/>
  </w:num>
  <w:num w:numId="16">
    <w:abstractNumId w:val="30"/>
  </w:num>
  <w:num w:numId="17">
    <w:abstractNumId w:val="11"/>
  </w:num>
  <w:num w:numId="18">
    <w:abstractNumId w:val="27"/>
  </w:num>
  <w:num w:numId="19">
    <w:abstractNumId w:val="28"/>
  </w:num>
  <w:num w:numId="20">
    <w:abstractNumId w:val="19"/>
  </w:num>
  <w:num w:numId="21">
    <w:abstractNumId w:val="13"/>
  </w:num>
  <w:num w:numId="22">
    <w:abstractNumId w:val="25"/>
  </w:num>
  <w:num w:numId="23">
    <w:abstractNumId w:val="29"/>
  </w:num>
  <w:num w:numId="24">
    <w:abstractNumId w:val="15"/>
  </w:num>
  <w:num w:numId="25">
    <w:abstractNumId w:val="17"/>
  </w:num>
  <w:num w:numId="26">
    <w:abstractNumId w:val="0"/>
  </w:num>
  <w:num w:numId="27">
    <w:abstractNumId w:val="9"/>
  </w:num>
  <w:num w:numId="28">
    <w:abstractNumId w:val="5"/>
  </w:num>
  <w:num w:numId="29">
    <w:abstractNumId w:val="6"/>
  </w:num>
  <w:num w:numId="30">
    <w:abstractNumId w:val="4"/>
  </w:num>
  <w:num w:numId="31">
    <w:abstractNumId w:val="12"/>
  </w:num>
  <w:num w:numId="32">
    <w:abstractNumId w:val="31"/>
  </w:num>
  <w:num w:numId="33">
    <w:abstractNumId w:val="20"/>
  </w:num>
  <w:num w:numId="3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5B37AD"/>
    <w:rsid w:val="00002CA3"/>
    <w:rsid w:val="00113467"/>
    <w:rsid w:val="002725CA"/>
    <w:rsid w:val="002D2FF4"/>
    <w:rsid w:val="003458BE"/>
    <w:rsid w:val="00393D05"/>
    <w:rsid w:val="003D6264"/>
    <w:rsid w:val="005B37AD"/>
    <w:rsid w:val="005D00E0"/>
    <w:rsid w:val="00622DD1"/>
    <w:rsid w:val="00754BDB"/>
    <w:rsid w:val="00840A83"/>
    <w:rsid w:val="00A15022"/>
    <w:rsid w:val="00A32056"/>
    <w:rsid w:val="00A9774A"/>
    <w:rsid w:val="00AA16B3"/>
    <w:rsid w:val="00D72DB4"/>
    <w:rsid w:val="00E618F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9774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link w:val="HTMLPreformattedChar"/>
    <w:uiPriority w:val="99"/>
    <w:semiHidden/>
    <w:unhideWhenUsed/>
    <w:rsid w:val="00113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113467"/>
    <w:rPr>
      <w:rFonts w:ascii="Courier New" w:eastAsia="Times New Roman" w:hAnsi="Courier New" w:cs="Courier New"/>
      <w:sz w:val="20"/>
      <w:szCs w:val="20"/>
    </w:rPr>
  </w:style>
  <w:style w:type="character" w:styleId="Hyperlink">
    <w:name w:val="Hyperlink"/>
    <w:basedOn w:val="DefaultParagraphFont"/>
    <w:uiPriority w:val="99"/>
    <w:semiHidden/>
    <w:unhideWhenUsed/>
    <w:rsid w:val="00113467"/>
    <w:rPr>
      <w:color w:val="0000FF"/>
      <w:u w:val="single"/>
    </w:rPr>
  </w:style>
  <w:style w:type="paragraph" w:styleId="NormalWeb">
    <w:name w:val="Normal (Web)"/>
    <w:basedOn w:val="Normal"/>
    <w:uiPriority w:val="99"/>
    <w:semiHidden/>
    <w:unhideWhenUsed/>
    <w:rsid w:val="00840A83"/>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2D2FF4"/>
    <w:pPr>
      <w:ind w:left="720"/>
      <w:contextualSpacing/>
    </w:pPr>
  </w:style>
  <w:style w:type="character" w:styleId="Strong">
    <w:name w:val="Strong"/>
    <w:basedOn w:val="DefaultParagraphFont"/>
    <w:uiPriority w:val="22"/>
    <w:qFormat/>
    <w:rsid w:val="002D2FF4"/>
    <w:rPr>
      <w:b/>
      <w:bCs/>
    </w:rPr>
  </w:style>
  <w:style w:type="table" w:styleId="TableGrid">
    <w:name w:val="Table Grid"/>
    <w:basedOn w:val="TableNormal"/>
    <w:uiPriority w:val="59"/>
    <w:rsid w:val="002D2FF4"/>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A3205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3205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812213631">
      <w:bodyDiv w:val="1"/>
      <w:marLeft w:val="0"/>
      <w:marRight w:val="0"/>
      <w:marTop w:val="0"/>
      <w:marBottom w:val="0"/>
      <w:divBdr>
        <w:top w:val="none" w:sz="0" w:space="0" w:color="auto"/>
        <w:left w:val="none" w:sz="0" w:space="0" w:color="auto"/>
        <w:bottom w:val="none" w:sz="0" w:space="0" w:color="auto"/>
        <w:right w:val="none" w:sz="0" w:space="0" w:color="auto"/>
      </w:divBdr>
      <w:divsChild>
        <w:div w:id="338703342">
          <w:marLeft w:val="0"/>
          <w:marRight w:val="0"/>
          <w:marTop w:val="120"/>
          <w:marBottom w:val="120"/>
          <w:divBdr>
            <w:top w:val="none" w:sz="0" w:space="0" w:color="auto"/>
            <w:left w:val="none" w:sz="0" w:space="0" w:color="auto"/>
            <w:bottom w:val="none" w:sz="0" w:space="0" w:color="auto"/>
            <w:right w:val="none" w:sz="0" w:space="0" w:color="auto"/>
          </w:divBdr>
        </w:div>
        <w:div w:id="919564066">
          <w:marLeft w:val="0"/>
          <w:marRight w:val="0"/>
          <w:marTop w:val="120"/>
          <w:marBottom w:val="120"/>
          <w:divBdr>
            <w:top w:val="none" w:sz="0" w:space="0" w:color="auto"/>
            <w:left w:val="none" w:sz="0" w:space="0" w:color="auto"/>
            <w:bottom w:val="none" w:sz="0" w:space="0" w:color="auto"/>
            <w:right w:val="none" w:sz="0" w:space="0" w:color="auto"/>
          </w:divBdr>
        </w:div>
        <w:div w:id="497423273">
          <w:marLeft w:val="0"/>
          <w:marRight w:val="0"/>
          <w:marTop w:val="120"/>
          <w:marBottom w:val="120"/>
          <w:divBdr>
            <w:top w:val="none" w:sz="0" w:space="0" w:color="auto"/>
            <w:left w:val="none" w:sz="0" w:space="0" w:color="auto"/>
            <w:bottom w:val="none" w:sz="0" w:space="0" w:color="auto"/>
            <w:right w:val="none" w:sz="0" w:space="0" w:color="auto"/>
          </w:divBdr>
        </w:div>
        <w:div w:id="393352546">
          <w:marLeft w:val="0"/>
          <w:marRight w:val="0"/>
          <w:marTop w:val="120"/>
          <w:marBottom w:val="120"/>
          <w:divBdr>
            <w:top w:val="none" w:sz="0" w:space="0" w:color="auto"/>
            <w:left w:val="none" w:sz="0" w:space="0" w:color="auto"/>
            <w:bottom w:val="none" w:sz="0" w:space="0" w:color="auto"/>
            <w:right w:val="none" w:sz="0" w:space="0" w:color="auto"/>
          </w:divBdr>
        </w:div>
        <w:div w:id="1586038821">
          <w:marLeft w:val="0"/>
          <w:marRight w:val="0"/>
          <w:marTop w:val="120"/>
          <w:marBottom w:val="120"/>
          <w:divBdr>
            <w:top w:val="none" w:sz="0" w:space="0" w:color="auto"/>
            <w:left w:val="none" w:sz="0" w:space="0" w:color="auto"/>
            <w:bottom w:val="none" w:sz="0" w:space="0" w:color="auto"/>
            <w:right w:val="none" w:sz="0" w:space="0" w:color="auto"/>
          </w:divBdr>
        </w:div>
        <w:div w:id="263154696">
          <w:marLeft w:val="0"/>
          <w:marRight w:val="0"/>
          <w:marTop w:val="120"/>
          <w:marBottom w:val="120"/>
          <w:divBdr>
            <w:top w:val="none" w:sz="0" w:space="0" w:color="auto"/>
            <w:left w:val="none" w:sz="0" w:space="0" w:color="auto"/>
            <w:bottom w:val="none" w:sz="0" w:space="0" w:color="auto"/>
            <w:right w:val="none" w:sz="0" w:space="0" w:color="auto"/>
          </w:divBdr>
        </w:div>
        <w:div w:id="599065145">
          <w:marLeft w:val="0"/>
          <w:marRight w:val="0"/>
          <w:marTop w:val="120"/>
          <w:marBottom w:val="120"/>
          <w:divBdr>
            <w:top w:val="none" w:sz="0" w:space="0" w:color="auto"/>
            <w:left w:val="none" w:sz="0" w:space="0" w:color="auto"/>
            <w:bottom w:val="none" w:sz="0" w:space="0" w:color="auto"/>
            <w:right w:val="none" w:sz="0" w:space="0" w:color="auto"/>
          </w:divBdr>
        </w:div>
        <w:div w:id="1598829204">
          <w:marLeft w:val="0"/>
          <w:marRight w:val="0"/>
          <w:marTop w:val="120"/>
          <w:marBottom w:val="120"/>
          <w:divBdr>
            <w:top w:val="none" w:sz="0" w:space="0" w:color="auto"/>
            <w:left w:val="none" w:sz="0" w:space="0" w:color="auto"/>
            <w:bottom w:val="none" w:sz="0" w:space="0" w:color="auto"/>
            <w:right w:val="none" w:sz="0" w:space="0" w:color="auto"/>
          </w:divBdr>
        </w:div>
        <w:div w:id="1736048932">
          <w:marLeft w:val="0"/>
          <w:marRight w:val="0"/>
          <w:marTop w:val="120"/>
          <w:marBottom w:val="120"/>
          <w:divBdr>
            <w:top w:val="none" w:sz="0" w:space="0" w:color="auto"/>
            <w:left w:val="none" w:sz="0" w:space="0" w:color="auto"/>
            <w:bottom w:val="none" w:sz="0" w:space="0" w:color="auto"/>
            <w:right w:val="none" w:sz="0" w:space="0" w:color="auto"/>
          </w:divBdr>
        </w:div>
        <w:div w:id="1493571062">
          <w:marLeft w:val="0"/>
          <w:marRight w:val="0"/>
          <w:marTop w:val="120"/>
          <w:marBottom w:val="120"/>
          <w:divBdr>
            <w:top w:val="none" w:sz="0" w:space="0" w:color="auto"/>
            <w:left w:val="none" w:sz="0" w:space="0" w:color="auto"/>
            <w:bottom w:val="none" w:sz="0" w:space="0" w:color="auto"/>
            <w:right w:val="none" w:sz="0" w:space="0" w:color="auto"/>
          </w:divBdr>
        </w:div>
        <w:div w:id="115411585">
          <w:marLeft w:val="0"/>
          <w:marRight w:val="0"/>
          <w:marTop w:val="120"/>
          <w:marBottom w:val="120"/>
          <w:divBdr>
            <w:top w:val="none" w:sz="0" w:space="0" w:color="auto"/>
            <w:left w:val="none" w:sz="0" w:space="0" w:color="auto"/>
            <w:bottom w:val="none" w:sz="0" w:space="0" w:color="auto"/>
            <w:right w:val="none" w:sz="0" w:space="0" w:color="auto"/>
          </w:divBdr>
        </w:div>
        <w:div w:id="1884631322">
          <w:marLeft w:val="0"/>
          <w:marRight w:val="0"/>
          <w:marTop w:val="120"/>
          <w:marBottom w:val="120"/>
          <w:divBdr>
            <w:top w:val="none" w:sz="0" w:space="0" w:color="auto"/>
            <w:left w:val="none" w:sz="0" w:space="0" w:color="auto"/>
            <w:bottom w:val="none" w:sz="0" w:space="0" w:color="auto"/>
            <w:right w:val="none" w:sz="0" w:space="0" w:color="auto"/>
          </w:divBdr>
        </w:div>
        <w:div w:id="1784811530">
          <w:marLeft w:val="0"/>
          <w:marRight w:val="0"/>
          <w:marTop w:val="120"/>
          <w:marBottom w:val="120"/>
          <w:divBdr>
            <w:top w:val="none" w:sz="0" w:space="0" w:color="auto"/>
            <w:left w:val="none" w:sz="0" w:space="0" w:color="auto"/>
            <w:bottom w:val="none" w:sz="0" w:space="0" w:color="auto"/>
            <w:right w:val="none" w:sz="0" w:space="0" w:color="auto"/>
          </w:divBdr>
        </w:div>
        <w:div w:id="1634369038">
          <w:marLeft w:val="0"/>
          <w:marRight w:val="0"/>
          <w:marTop w:val="120"/>
          <w:marBottom w:val="120"/>
          <w:divBdr>
            <w:top w:val="none" w:sz="0" w:space="0" w:color="auto"/>
            <w:left w:val="none" w:sz="0" w:space="0" w:color="auto"/>
            <w:bottom w:val="none" w:sz="0" w:space="0" w:color="auto"/>
            <w:right w:val="none" w:sz="0" w:space="0" w:color="auto"/>
          </w:divBdr>
        </w:div>
        <w:div w:id="135294507">
          <w:marLeft w:val="0"/>
          <w:marRight w:val="0"/>
          <w:marTop w:val="120"/>
          <w:marBottom w:val="120"/>
          <w:divBdr>
            <w:top w:val="none" w:sz="0" w:space="0" w:color="auto"/>
            <w:left w:val="none" w:sz="0" w:space="0" w:color="auto"/>
            <w:bottom w:val="none" w:sz="0" w:space="0" w:color="auto"/>
            <w:right w:val="none" w:sz="0" w:space="0" w:color="auto"/>
          </w:divBdr>
        </w:div>
        <w:div w:id="13456708">
          <w:marLeft w:val="0"/>
          <w:marRight w:val="0"/>
          <w:marTop w:val="120"/>
          <w:marBottom w:val="120"/>
          <w:divBdr>
            <w:top w:val="none" w:sz="0" w:space="0" w:color="auto"/>
            <w:left w:val="none" w:sz="0" w:space="0" w:color="auto"/>
            <w:bottom w:val="none" w:sz="0" w:space="0" w:color="auto"/>
            <w:right w:val="none" w:sz="0" w:space="0" w:color="auto"/>
          </w:divBdr>
        </w:div>
        <w:div w:id="854610171">
          <w:marLeft w:val="0"/>
          <w:marRight w:val="0"/>
          <w:marTop w:val="120"/>
          <w:marBottom w:val="120"/>
          <w:divBdr>
            <w:top w:val="none" w:sz="0" w:space="0" w:color="auto"/>
            <w:left w:val="none" w:sz="0" w:space="0" w:color="auto"/>
            <w:bottom w:val="none" w:sz="0" w:space="0" w:color="auto"/>
            <w:right w:val="none" w:sz="0" w:space="0" w:color="auto"/>
          </w:divBdr>
        </w:div>
        <w:div w:id="1275479251">
          <w:marLeft w:val="0"/>
          <w:marRight w:val="0"/>
          <w:marTop w:val="120"/>
          <w:marBottom w:val="120"/>
          <w:divBdr>
            <w:top w:val="none" w:sz="0" w:space="0" w:color="auto"/>
            <w:left w:val="none" w:sz="0" w:space="0" w:color="auto"/>
            <w:bottom w:val="none" w:sz="0" w:space="0" w:color="auto"/>
            <w:right w:val="none" w:sz="0" w:space="0" w:color="auto"/>
          </w:divBdr>
        </w:div>
        <w:div w:id="2076007600">
          <w:marLeft w:val="0"/>
          <w:marRight w:val="0"/>
          <w:marTop w:val="120"/>
          <w:marBottom w:val="120"/>
          <w:divBdr>
            <w:top w:val="none" w:sz="0" w:space="0" w:color="auto"/>
            <w:left w:val="none" w:sz="0" w:space="0" w:color="auto"/>
            <w:bottom w:val="none" w:sz="0" w:space="0" w:color="auto"/>
            <w:right w:val="none" w:sz="0" w:space="0" w:color="auto"/>
          </w:divBdr>
        </w:div>
        <w:div w:id="405498902">
          <w:marLeft w:val="0"/>
          <w:marRight w:val="0"/>
          <w:marTop w:val="120"/>
          <w:marBottom w:val="120"/>
          <w:divBdr>
            <w:top w:val="none" w:sz="0" w:space="0" w:color="auto"/>
            <w:left w:val="none" w:sz="0" w:space="0" w:color="auto"/>
            <w:bottom w:val="none" w:sz="0" w:space="0" w:color="auto"/>
            <w:right w:val="none" w:sz="0" w:space="0" w:color="auto"/>
          </w:divBdr>
        </w:div>
        <w:div w:id="663246628">
          <w:marLeft w:val="0"/>
          <w:marRight w:val="0"/>
          <w:marTop w:val="120"/>
          <w:marBottom w:val="120"/>
          <w:divBdr>
            <w:top w:val="none" w:sz="0" w:space="0" w:color="auto"/>
            <w:left w:val="none" w:sz="0" w:space="0" w:color="auto"/>
            <w:bottom w:val="none" w:sz="0" w:space="0" w:color="auto"/>
            <w:right w:val="none" w:sz="0" w:space="0" w:color="auto"/>
          </w:divBdr>
        </w:div>
        <w:div w:id="808521860">
          <w:marLeft w:val="0"/>
          <w:marRight w:val="0"/>
          <w:marTop w:val="120"/>
          <w:marBottom w:val="120"/>
          <w:divBdr>
            <w:top w:val="none" w:sz="0" w:space="0" w:color="auto"/>
            <w:left w:val="none" w:sz="0" w:space="0" w:color="auto"/>
            <w:bottom w:val="none" w:sz="0" w:space="0" w:color="auto"/>
            <w:right w:val="none" w:sz="0" w:space="0" w:color="auto"/>
          </w:divBdr>
        </w:div>
        <w:div w:id="448159607">
          <w:marLeft w:val="0"/>
          <w:marRight w:val="0"/>
          <w:marTop w:val="120"/>
          <w:marBottom w:val="120"/>
          <w:divBdr>
            <w:top w:val="none" w:sz="0" w:space="0" w:color="auto"/>
            <w:left w:val="none" w:sz="0" w:space="0" w:color="auto"/>
            <w:bottom w:val="none" w:sz="0" w:space="0" w:color="auto"/>
            <w:right w:val="none" w:sz="0" w:space="0" w:color="auto"/>
          </w:divBdr>
        </w:div>
        <w:div w:id="2030252055">
          <w:marLeft w:val="0"/>
          <w:marRight w:val="0"/>
          <w:marTop w:val="120"/>
          <w:marBottom w:val="120"/>
          <w:divBdr>
            <w:top w:val="none" w:sz="0" w:space="0" w:color="auto"/>
            <w:left w:val="none" w:sz="0" w:space="0" w:color="auto"/>
            <w:bottom w:val="none" w:sz="0" w:space="0" w:color="auto"/>
            <w:right w:val="none" w:sz="0" w:space="0" w:color="auto"/>
          </w:divBdr>
        </w:div>
        <w:div w:id="1737361866">
          <w:marLeft w:val="0"/>
          <w:marRight w:val="0"/>
          <w:marTop w:val="120"/>
          <w:marBottom w:val="120"/>
          <w:divBdr>
            <w:top w:val="none" w:sz="0" w:space="0" w:color="auto"/>
            <w:left w:val="none" w:sz="0" w:space="0" w:color="auto"/>
            <w:bottom w:val="none" w:sz="0" w:space="0" w:color="auto"/>
            <w:right w:val="none" w:sz="0" w:space="0" w:color="auto"/>
          </w:divBdr>
        </w:div>
        <w:div w:id="386300496">
          <w:marLeft w:val="0"/>
          <w:marRight w:val="0"/>
          <w:marTop w:val="120"/>
          <w:marBottom w:val="120"/>
          <w:divBdr>
            <w:top w:val="none" w:sz="0" w:space="0" w:color="auto"/>
            <w:left w:val="none" w:sz="0" w:space="0" w:color="auto"/>
            <w:bottom w:val="none" w:sz="0" w:space="0" w:color="auto"/>
            <w:right w:val="none" w:sz="0" w:space="0" w:color="auto"/>
          </w:divBdr>
        </w:div>
        <w:div w:id="87236385">
          <w:marLeft w:val="0"/>
          <w:marRight w:val="0"/>
          <w:marTop w:val="120"/>
          <w:marBottom w:val="120"/>
          <w:divBdr>
            <w:top w:val="none" w:sz="0" w:space="0" w:color="auto"/>
            <w:left w:val="none" w:sz="0" w:space="0" w:color="auto"/>
            <w:bottom w:val="none" w:sz="0" w:space="0" w:color="auto"/>
            <w:right w:val="none" w:sz="0" w:space="0" w:color="auto"/>
          </w:divBdr>
        </w:div>
        <w:div w:id="1282954940">
          <w:marLeft w:val="0"/>
          <w:marRight w:val="0"/>
          <w:marTop w:val="120"/>
          <w:marBottom w:val="120"/>
          <w:divBdr>
            <w:top w:val="none" w:sz="0" w:space="0" w:color="auto"/>
            <w:left w:val="none" w:sz="0" w:space="0" w:color="auto"/>
            <w:bottom w:val="none" w:sz="0" w:space="0" w:color="auto"/>
            <w:right w:val="none" w:sz="0" w:space="0" w:color="auto"/>
          </w:divBdr>
        </w:div>
        <w:div w:id="523330818">
          <w:marLeft w:val="0"/>
          <w:marRight w:val="0"/>
          <w:marTop w:val="120"/>
          <w:marBottom w:val="120"/>
          <w:divBdr>
            <w:top w:val="none" w:sz="0" w:space="0" w:color="auto"/>
            <w:left w:val="none" w:sz="0" w:space="0" w:color="auto"/>
            <w:bottom w:val="none" w:sz="0" w:space="0" w:color="auto"/>
            <w:right w:val="none" w:sz="0" w:space="0" w:color="auto"/>
          </w:divBdr>
        </w:div>
        <w:div w:id="532309819">
          <w:marLeft w:val="0"/>
          <w:marRight w:val="0"/>
          <w:marTop w:val="120"/>
          <w:marBottom w:val="120"/>
          <w:divBdr>
            <w:top w:val="none" w:sz="0" w:space="0" w:color="auto"/>
            <w:left w:val="none" w:sz="0" w:space="0" w:color="auto"/>
            <w:bottom w:val="none" w:sz="0" w:space="0" w:color="auto"/>
            <w:right w:val="none" w:sz="0" w:space="0" w:color="auto"/>
          </w:divBdr>
        </w:div>
        <w:div w:id="1452630471">
          <w:marLeft w:val="0"/>
          <w:marRight w:val="0"/>
          <w:marTop w:val="120"/>
          <w:marBottom w:val="120"/>
          <w:divBdr>
            <w:top w:val="none" w:sz="0" w:space="0" w:color="auto"/>
            <w:left w:val="none" w:sz="0" w:space="0" w:color="auto"/>
            <w:bottom w:val="none" w:sz="0" w:space="0" w:color="auto"/>
            <w:right w:val="none" w:sz="0" w:space="0" w:color="auto"/>
          </w:divBdr>
        </w:div>
        <w:div w:id="1003315515">
          <w:marLeft w:val="0"/>
          <w:marRight w:val="0"/>
          <w:marTop w:val="120"/>
          <w:marBottom w:val="120"/>
          <w:divBdr>
            <w:top w:val="none" w:sz="0" w:space="0" w:color="auto"/>
            <w:left w:val="none" w:sz="0" w:space="0" w:color="auto"/>
            <w:bottom w:val="none" w:sz="0" w:space="0" w:color="auto"/>
            <w:right w:val="none" w:sz="0" w:space="0" w:color="auto"/>
          </w:divBdr>
        </w:div>
        <w:div w:id="1724450093">
          <w:marLeft w:val="0"/>
          <w:marRight w:val="0"/>
          <w:marTop w:val="120"/>
          <w:marBottom w:val="120"/>
          <w:divBdr>
            <w:top w:val="none" w:sz="0" w:space="0" w:color="auto"/>
            <w:left w:val="none" w:sz="0" w:space="0" w:color="auto"/>
            <w:bottom w:val="none" w:sz="0" w:space="0" w:color="auto"/>
            <w:right w:val="none" w:sz="0" w:space="0" w:color="auto"/>
          </w:divBdr>
        </w:div>
        <w:div w:id="207841426">
          <w:marLeft w:val="0"/>
          <w:marRight w:val="0"/>
          <w:marTop w:val="120"/>
          <w:marBottom w:val="120"/>
          <w:divBdr>
            <w:top w:val="none" w:sz="0" w:space="0" w:color="auto"/>
            <w:left w:val="none" w:sz="0" w:space="0" w:color="auto"/>
            <w:bottom w:val="none" w:sz="0" w:space="0" w:color="auto"/>
            <w:right w:val="none" w:sz="0" w:space="0" w:color="auto"/>
          </w:divBdr>
        </w:div>
        <w:div w:id="1348365544">
          <w:marLeft w:val="0"/>
          <w:marRight w:val="0"/>
          <w:marTop w:val="120"/>
          <w:marBottom w:val="120"/>
          <w:divBdr>
            <w:top w:val="none" w:sz="0" w:space="0" w:color="auto"/>
            <w:left w:val="none" w:sz="0" w:space="0" w:color="auto"/>
            <w:bottom w:val="none" w:sz="0" w:space="0" w:color="auto"/>
            <w:right w:val="none" w:sz="0" w:space="0" w:color="auto"/>
          </w:divBdr>
        </w:div>
        <w:div w:id="920680683">
          <w:marLeft w:val="0"/>
          <w:marRight w:val="0"/>
          <w:marTop w:val="120"/>
          <w:marBottom w:val="120"/>
          <w:divBdr>
            <w:top w:val="none" w:sz="0" w:space="0" w:color="auto"/>
            <w:left w:val="none" w:sz="0" w:space="0" w:color="auto"/>
            <w:bottom w:val="none" w:sz="0" w:space="0" w:color="auto"/>
            <w:right w:val="none" w:sz="0" w:space="0" w:color="auto"/>
          </w:divBdr>
        </w:div>
        <w:div w:id="1884362447">
          <w:marLeft w:val="0"/>
          <w:marRight w:val="0"/>
          <w:marTop w:val="120"/>
          <w:marBottom w:val="120"/>
          <w:divBdr>
            <w:top w:val="none" w:sz="0" w:space="0" w:color="auto"/>
            <w:left w:val="none" w:sz="0" w:space="0" w:color="auto"/>
            <w:bottom w:val="none" w:sz="0" w:space="0" w:color="auto"/>
            <w:right w:val="none" w:sz="0" w:space="0" w:color="auto"/>
          </w:divBdr>
        </w:div>
        <w:div w:id="119423438">
          <w:marLeft w:val="0"/>
          <w:marRight w:val="0"/>
          <w:marTop w:val="120"/>
          <w:marBottom w:val="120"/>
          <w:divBdr>
            <w:top w:val="none" w:sz="0" w:space="0" w:color="auto"/>
            <w:left w:val="none" w:sz="0" w:space="0" w:color="auto"/>
            <w:bottom w:val="none" w:sz="0" w:space="0" w:color="auto"/>
            <w:right w:val="none" w:sz="0" w:space="0" w:color="auto"/>
          </w:divBdr>
        </w:div>
        <w:div w:id="486242510">
          <w:marLeft w:val="0"/>
          <w:marRight w:val="0"/>
          <w:marTop w:val="120"/>
          <w:marBottom w:val="120"/>
          <w:divBdr>
            <w:top w:val="none" w:sz="0" w:space="0" w:color="auto"/>
            <w:left w:val="none" w:sz="0" w:space="0" w:color="auto"/>
            <w:bottom w:val="none" w:sz="0" w:space="0" w:color="auto"/>
            <w:right w:val="none" w:sz="0" w:space="0" w:color="auto"/>
          </w:divBdr>
        </w:div>
        <w:div w:id="547646140">
          <w:marLeft w:val="0"/>
          <w:marRight w:val="0"/>
          <w:marTop w:val="120"/>
          <w:marBottom w:val="120"/>
          <w:divBdr>
            <w:top w:val="none" w:sz="0" w:space="0" w:color="auto"/>
            <w:left w:val="none" w:sz="0" w:space="0" w:color="auto"/>
            <w:bottom w:val="none" w:sz="0" w:space="0" w:color="auto"/>
            <w:right w:val="none" w:sz="0" w:space="0" w:color="auto"/>
          </w:divBdr>
        </w:div>
        <w:div w:id="1400635924">
          <w:marLeft w:val="0"/>
          <w:marRight w:val="0"/>
          <w:marTop w:val="120"/>
          <w:marBottom w:val="120"/>
          <w:divBdr>
            <w:top w:val="none" w:sz="0" w:space="0" w:color="auto"/>
            <w:left w:val="none" w:sz="0" w:space="0" w:color="auto"/>
            <w:bottom w:val="none" w:sz="0" w:space="0" w:color="auto"/>
            <w:right w:val="none" w:sz="0" w:space="0" w:color="auto"/>
          </w:divBdr>
        </w:div>
        <w:div w:id="1315643481">
          <w:marLeft w:val="0"/>
          <w:marRight w:val="0"/>
          <w:marTop w:val="120"/>
          <w:marBottom w:val="120"/>
          <w:divBdr>
            <w:top w:val="none" w:sz="0" w:space="0" w:color="auto"/>
            <w:left w:val="none" w:sz="0" w:space="0" w:color="auto"/>
            <w:bottom w:val="none" w:sz="0" w:space="0" w:color="auto"/>
            <w:right w:val="none" w:sz="0" w:space="0" w:color="auto"/>
          </w:divBdr>
        </w:div>
        <w:div w:id="299313422">
          <w:marLeft w:val="0"/>
          <w:marRight w:val="0"/>
          <w:marTop w:val="120"/>
          <w:marBottom w:val="120"/>
          <w:divBdr>
            <w:top w:val="none" w:sz="0" w:space="0" w:color="auto"/>
            <w:left w:val="none" w:sz="0" w:space="0" w:color="auto"/>
            <w:bottom w:val="none" w:sz="0" w:space="0" w:color="auto"/>
            <w:right w:val="none" w:sz="0" w:space="0" w:color="auto"/>
          </w:divBdr>
        </w:div>
        <w:div w:id="474034636">
          <w:marLeft w:val="0"/>
          <w:marRight w:val="0"/>
          <w:marTop w:val="120"/>
          <w:marBottom w:val="120"/>
          <w:divBdr>
            <w:top w:val="none" w:sz="0" w:space="0" w:color="auto"/>
            <w:left w:val="none" w:sz="0" w:space="0" w:color="auto"/>
            <w:bottom w:val="none" w:sz="0" w:space="0" w:color="auto"/>
            <w:right w:val="none" w:sz="0" w:space="0" w:color="auto"/>
          </w:divBdr>
        </w:div>
        <w:div w:id="55206633">
          <w:marLeft w:val="0"/>
          <w:marRight w:val="0"/>
          <w:marTop w:val="120"/>
          <w:marBottom w:val="120"/>
          <w:divBdr>
            <w:top w:val="none" w:sz="0" w:space="0" w:color="auto"/>
            <w:left w:val="none" w:sz="0" w:space="0" w:color="auto"/>
            <w:bottom w:val="none" w:sz="0" w:space="0" w:color="auto"/>
            <w:right w:val="none" w:sz="0" w:space="0" w:color="auto"/>
          </w:divBdr>
        </w:div>
        <w:div w:id="881213713">
          <w:marLeft w:val="0"/>
          <w:marRight w:val="0"/>
          <w:marTop w:val="120"/>
          <w:marBottom w:val="120"/>
          <w:divBdr>
            <w:top w:val="none" w:sz="0" w:space="0" w:color="auto"/>
            <w:left w:val="none" w:sz="0" w:space="0" w:color="auto"/>
            <w:bottom w:val="none" w:sz="0" w:space="0" w:color="auto"/>
            <w:right w:val="none" w:sz="0" w:space="0" w:color="auto"/>
          </w:divBdr>
        </w:div>
        <w:div w:id="1244994569">
          <w:marLeft w:val="0"/>
          <w:marRight w:val="0"/>
          <w:marTop w:val="120"/>
          <w:marBottom w:val="120"/>
          <w:divBdr>
            <w:top w:val="none" w:sz="0" w:space="0" w:color="auto"/>
            <w:left w:val="none" w:sz="0" w:space="0" w:color="auto"/>
            <w:bottom w:val="none" w:sz="0" w:space="0" w:color="auto"/>
            <w:right w:val="none" w:sz="0" w:space="0" w:color="auto"/>
          </w:divBdr>
        </w:div>
        <w:div w:id="176432704">
          <w:marLeft w:val="0"/>
          <w:marRight w:val="0"/>
          <w:marTop w:val="120"/>
          <w:marBottom w:val="120"/>
          <w:divBdr>
            <w:top w:val="none" w:sz="0" w:space="0" w:color="auto"/>
            <w:left w:val="none" w:sz="0" w:space="0" w:color="auto"/>
            <w:bottom w:val="none" w:sz="0" w:space="0" w:color="auto"/>
            <w:right w:val="none" w:sz="0" w:space="0" w:color="auto"/>
          </w:divBdr>
        </w:div>
        <w:div w:id="1990282597">
          <w:marLeft w:val="0"/>
          <w:marRight w:val="0"/>
          <w:marTop w:val="120"/>
          <w:marBottom w:val="120"/>
          <w:divBdr>
            <w:top w:val="none" w:sz="0" w:space="0" w:color="auto"/>
            <w:left w:val="none" w:sz="0" w:space="0" w:color="auto"/>
            <w:bottom w:val="none" w:sz="0" w:space="0" w:color="auto"/>
            <w:right w:val="none" w:sz="0" w:space="0" w:color="auto"/>
          </w:divBdr>
        </w:div>
        <w:div w:id="737746449">
          <w:marLeft w:val="0"/>
          <w:marRight w:val="0"/>
          <w:marTop w:val="120"/>
          <w:marBottom w:val="120"/>
          <w:divBdr>
            <w:top w:val="none" w:sz="0" w:space="0" w:color="auto"/>
            <w:left w:val="none" w:sz="0" w:space="0" w:color="auto"/>
            <w:bottom w:val="none" w:sz="0" w:space="0" w:color="auto"/>
            <w:right w:val="none" w:sz="0" w:space="0" w:color="auto"/>
          </w:divBdr>
        </w:div>
        <w:div w:id="94450613">
          <w:marLeft w:val="0"/>
          <w:marRight w:val="0"/>
          <w:marTop w:val="120"/>
          <w:marBottom w:val="120"/>
          <w:divBdr>
            <w:top w:val="none" w:sz="0" w:space="0" w:color="auto"/>
            <w:left w:val="none" w:sz="0" w:space="0" w:color="auto"/>
            <w:bottom w:val="none" w:sz="0" w:space="0" w:color="auto"/>
            <w:right w:val="none" w:sz="0" w:space="0" w:color="auto"/>
          </w:divBdr>
        </w:div>
        <w:div w:id="1207983140">
          <w:marLeft w:val="0"/>
          <w:marRight w:val="0"/>
          <w:marTop w:val="120"/>
          <w:marBottom w:val="120"/>
          <w:divBdr>
            <w:top w:val="none" w:sz="0" w:space="0" w:color="auto"/>
            <w:left w:val="none" w:sz="0" w:space="0" w:color="auto"/>
            <w:bottom w:val="none" w:sz="0" w:space="0" w:color="auto"/>
            <w:right w:val="none" w:sz="0" w:space="0" w:color="auto"/>
          </w:divBdr>
        </w:div>
        <w:div w:id="1849784287">
          <w:marLeft w:val="0"/>
          <w:marRight w:val="0"/>
          <w:marTop w:val="120"/>
          <w:marBottom w:val="120"/>
          <w:divBdr>
            <w:top w:val="none" w:sz="0" w:space="0" w:color="auto"/>
            <w:left w:val="none" w:sz="0" w:space="0" w:color="auto"/>
            <w:bottom w:val="none" w:sz="0" w:space="0" w:color="auto"/>
            <w:right w:val="none" w:sz="0" w:space="0" w:color="auto"/>
          </w:divBdr>
        </w:div>
        <w:div w:id="1456681122">
          <w:marLeft w:val="0"/>
          <w:marRight w:val="0"/>
          <w:marTop w:val="120"/>
          <w:marBottom w:val="120"/>
          <w:divBdr>
            <w:top w:val="none" w:sz="0" w:space="0" w:color="auto"/>
            <w:left w:val="none" w:sz="0" w:space="0" w:color="auto"/>
            <w:bottom w:val="none" w:sz="0" w:space="0" w:color="auto"/>
            <w:right w:val="none" w:sz="0" w:space="0" w:color="auto"/>
          </w:divBdr>
        </w:div>
        <w:div w:id="1394618440">
          <w:marLeft w:val="0"/>
          <w:marRight w:val="0"/>
          <w:marTop w:val="120"/>
          <w:marBottom w:val="120"/>
          <w:divBdr>
            <w:top w:val="none" w:sz="0" w:space="0" w:color="auto"/>
            <w:left w:val="none" w:sz="0" w:space="0" w:color="auto"/>
            <w:bottom w:val="none" w:sz="0" w:space="0" w:color="auto"/>
            <w:right w:val="none" w:sz="0" w:space="0" w:color="auto"/>
          </w:divBdr>
        </w:div>
        <w:div w:id="1071999798">
          <w:marLeft w:val="0"/>
          <w:marRight w:val="0"/>
          <w:marTop w:val="120"/>
          <w:marBottom w:val="120"/>
          <w:divBdr>
            <w:top w:val="none" w:sz="0" w:space="0" w:color="auto"/>
            <w:left w:val="none" w:sz="0" w:space="0" w:color="auto"/>
            <w:bottom w:val="none" w:sz="0" w:space="0" w:color="auto"/>
            <w:right w:val="none" w:sz="0" w:space="0" w:color="auto"/>
          </w:divBdr>
        </w:div>
        <w:div w:id="785464542">
          <w:marLeft w:val="0"/>
          <w:marRight w:val="0"/>
          <w:marTop w:val="120"/>
          <w:marBottom w:val="120"/>
          <w:divBdr>
            <w:top w:val="none" w:sz="0" w:space="0" w:color="auto"/>
            <w:left w:val="none" w:sz="0" w:space="0" w:color="auto"/>
            <w:bottom w:val="none" w:sz="0" w:space="0" w:color="auto"/>
            <w:right w:val="none" w:sz="0" w:space="0" w:color="auto"/>
          </w:divBdr>
        </w:div>
        <w:div w:id="859591849">
          <w:marLeft w:val="0"/>
          <w:marRight w:val="0"/>
          <w:marTop w:val="120"/>
          <w:marBottom w:val="120"/>
          <w:divBdr>
            <w:top w:val="none" w:sz="0" w:space="0" w:color="auto"/>
            <w:left w:val="none" w:sz="0" w:space="0" w:color="auto"/>
            <w:bottom w:val="none" w:sz="0" w:space="0" w:color="auto"/>
            <w:right w:val="none" w:sz="0" w:space="0" w:color="auto"/>
          </w:divBdr>
        </w:div>
        <w:div w:id="40861323">
          <w:marLeft w:val="0"/>
          <w:marRight w:val="0"/>
          <w:marTop w:val="120"/>
          <w:marBottom w:val="120"/>
          <w:divBdr>
            <w:top w:val="none" w:sz="0" w:space="0" w:color="auto"/>
            <w:left w:val="none" w:sz="0" w:space="0" w:color="auto"/>
            <w:bottom w:val="none" w:sz="0" w:space="0" w:color="auto"/>
            <w:right w:val="none" w:sz="0" w:space="0" w:color="auto"/>
          </w:divBdr>
        </w:div>
        <w:div w:id="1005548240">
          <w:marLeft w:val="0"/>
          <w:marRight w:val="0"/>
          <w:marTop w:val="120"/>
          <w:marBottom w:val="120"/>
          <w:divBdr>
            <w:top w:val="none" w:sz="0" w:space="0" w:color="auto"/>
            <w:left w:val="none" w:sz="0" w:space="0" w:color="auto"/>
            <w:bottom w:val="none" w:sz="0" w:space="0" w:color="auto"/>
            <w:right w:val="none" w:sz="0" w:space="0" w:color="auto"/>
          </w:divBdr>
        </w:div>
        <w:div w:id="1297373058">
          <w:marLeft w:val="0"/>
          <w:marRight w:val="0"/>
          <w:marTop w:val="120"/>
          <w:marBottom w:val="120"/>
          <w:divBdr>
            <w:top w:val="none" w:sz="0" w:space="0" w:color="auto"/>
            <w:left w:val="none" w:sz="0" w:space="0" w:color="auto"/>
            <w:bottom w:val="none" w:sz="0" w:space="0" w:color="auto"/>
            <w:right w:val="none" w:sz="0" w:space="0" w:color="auto"/>
          </w:divBdr>
        </w:div>
        <w:div w:id="938877653">
          <w:marLeft w:val="0"/>
          <w:marRight w:val="0"/>
          <w:marTop w:val="120"/>
          <w:marBottom w:val="120"/>
          <w:divBdr>
            <w:top w:val="none" w:sz="0" w:space="0" w:color="auto"/>
            <w:left w:val="none" w:sz="0" w:space="0" w:color="auto"/>
            <w:bottom w:val="none" w:sz="0" w:space="0" w:color="auto"/>
            <w:right w:val="none" w:sz="0" w:space="0" w:color="auto"/>
          </w:divBdr>
        </w:div>
        <w:div w:id="1248878950">
          <w:marLeft w:val="0"/>
          <w:marRight w:val="0"/>
          <w:marTop w:val="120"/>
          <w:marBottom w:val="120"/>
          <w:divBdr>
            <w:top w:val="none" w:sz="0" w:space="0" w:color="auto"/>
            <w:left w:val="none" w:sz="0" w:space="0" w:color="auto"/>
            <w:bottom w:val="none" w:sz="0" w:space="0" w:color="auto"/>
            <w:right w:val="none" w:sz="0" w:space="0" w:color="auto"/>
          </w:divBdr>
        </w:div>
        <w:div w:id="939604090">
          <w:marLeft w:val="0"/>
          <w:marRight w:val="0"/>
          <w:marTop w:val="120"/>
          <w:marBottom w:val="120"/>
          <w:divBdr>
            <w:top w:val="none" w:sz="0" w:space="0" w:color="auto"/>
            <w:left w:val="none" w:sz="0" w:space="0" w:color="auto"/>
            <w:bottom w:val="none" w:sz="0" w:space="0" w:color="auto"/>
            <w:right w:val="none" w:sz="0" w:space="0" w:color="auto"/>
          </w:divBdr>
        </w:div>
        <w:div w:id="1031957367">
          <w:marLeft w:val="0"/>
          <w:marRight w:val="0"/>
          <w:marTop w:val="120"/>
          <w:marBottom w:val="120"/>
          <w:divBdr>
            <w:top w:val="none" w:sz="0" w:space="0" w:color="auto"/>
            <w:left w:val="none" w:sz="0" w:space="0" w:color="auto"/>
            <w:bottom w:val="none" w:sz="0" w:space="0" w:color="auto"/>
            <w:right w:val="none" w:sz="0" w:space="0" w:color="auto"/>
          </w:divBdr>
        </w:div>
        <w:div w:id="1253123163">
          <w:marLeft w:val="0"/>
          <w:marRight w:val="0"/>
          <w:marTop w:val="120"/>
          <w:marBottom w:val="120"/>
          <w:divBdr>
            <w:top w:val="none" w:sz="0" w:space="0" w:color="auto"/>
            <w:left w:val="none" w:sz="0" w:space="0" w:color="auto"/>
            <w:bottom w:val="none" w:sz="0" w:space="0" w:color="auto"/>
            <w:right w:val="none" w:sz="0" w:space="0" w:color="auto"/>
          </w:divBdr>
        </w:div>
        <w:div w:id="925844290">
          <w:marLeft w:val="0"/>
          <w:marRight w:val="0"/>
          <w:marTop w:val="120"/>
          <w:marBottom w:val="120"/>
          <w:divBdr>
            <w:top w:val="none" w:sz="0" w:space="0" w:color="auto"/>
            <w:left w:val="none" w:sz="0" w:space="0" w:color="auto"/>
            <w:bottom w:val="none" w:sz="0" w:space="0" w:color="auto"/>
            <w:right w:val="none" w:sz="0" w:space="0" w:color="auto"/>
          </w:divBdr>
        </w:div>
        <w:div w:id="1435445449">
          <w:marLeft w:val="0"/>
          <w:marRight w:val="0"/>
          <w:marTop w:val="120"/>
          <w:marBottom w:val="120"/>
          <w:divBdr>
            <w:top w:val="none" w:sz="0" w:space="0" w:color="auto"/>
            <w:left w:val="none" w:sz="0" w:space="0" w:color="auto"/>
            <w:bottom w:val="none" w:sz="0" w:space="0" w:color="auto"/>
            <w:right w:val="none" w:sz="0" w:space="0" w:color="auto"/>
          </w:divBdr>
        </w:div>
        <w:div w:id="1290278473">
          <w:marLeft w:val="0"/>
          <w:marRight w:val="0"/>
          <w:marTop w:val="120"/>
          <w:marBottom w:val="120"/>
          <w:divBdr>
            <w:top w:val="none" w:sz="0" w:space="0" w:color="auto"/>
            <w:left w:val="none" w:sz="0" w:space="0" w:color="auto"/>
            <w:bottom w:val="none" w:sz="0" w:space="0" w:color="auto"/>
            <w:right w:val="none" w:sz="0" w:space="0" w:color="auto"/>
          </w:divBdr>
        </w:div>
        <w:div w:id="2059738920">
          <w:marLeft w:val="0"/>
          <w:marRight w:val="0"/>
          <w:marTop w:val="120"/>
          <w:marBottom w:val="120"/>
          <w:divBdr>
            <w:top w:val="none" w:sz="0" w:space="0" w:color="auto"/>
            <w:left w:val="none" w:sz="0" w:space="0" w:color="auto"/>
            <w:bottom w:val="none" w:sz="0" w:space="0" w:color="auto"/>
            <w:right w:val="none" w:sz="0" w:space="0" w:color="auto"/>
          </w:divBdr>
        </w:div>
        <w:div w:id="1090081802">
          <w:marLeft w:val="0"/>
          <w:marRight w:val="0"/>
          <w:marTop w:val="120"/>
          <w:marBottom w:val="120"/>
          <w:divBdr>
            <w:top w:val="none" w:sz="0" w:space="0" w:color="auto"/>
            <w:left w:val="none" w:sz="0" w:space="0" w:color="auto"/>
            <w:bottom w:val="none" w:sz="0" w:space="0" w:color="auto"/>
            <w:right w:val="none" w:sz="0" w:space="0" w:color="auto"/>
          </w:divBdr>
        </w:div>
        <w:div w:id="1633711328">
          <w:marLeft w:val="0"/>
          <w:marRight w:val="0"/>
          <w:marTop w:val="120"/>
          <w:marBottom w:val="120"/>
          <w:divBdr>
            <w:top w:val="none" w:sz="0" w:space="0" w:color="auto"/>
            <w:left w:val="none" w:sz="0" w:space="0" w:color="auto"/>
            <w:bottom w:val="none" w:sz="0" w:space="0" w:color="auto"/>
            <w:right w:val="none" w:sz="0" w:space="0" w:color="auto"/>
          </w:divBdr>
        </w:div>
        <w:div w:id="1775634834">
          <w:marLeft w:val="0"/>
          <w:marRight w:val="0"/>
          <w:marTop w:val="120"/>
          <w:marBottom w:val="120"/>
          <w:divBdr>
            <w:top w:val="none" w:sz="0" w:space="0" w:color="auto"/>
            <w:left w:val="none" w:sz="0" w:space="0" w:color="auto"/>
            <w:bottom w:val="none" w:sz="0" w:space="0" w:color="auto"/>
            <w:right w:val="none" w:sz="0" w:space="0" w:color="auto"/>
          </w:divBdr>
        </w:div>
        <w:div w:id="933786868">
          <w:marLeft w:val="0"/>
          <w:marRight w:val="0"/>
          <w:marTop w:val="120"/>
          <w:marBottom w:val="120"/>
          <w:divBdr>
            <w:top w:val="none" w:sz="0" w:space="0" w:color="auto"/>
            <w:left w:val="none" w:sz="0" w:space="0" w:color="auto"/>
            <w:bottom w:val="none" w:sz="0" w:space="0" w:color="auto"/>
            <w:right w:val="none" w:sz="0" w:space="0" w:color="auto"/>
          </w:divBdr>
        </w:div>
        <w:div w:id="1351643366">
          <w:marLeft w:val="0"/>
          <w:marRight w:val="0"/>
          <w:marTop w:val="120"/>
          <w:marBottom w:val="120"/>
          <w:divBdr>
            <w:top w:val="none" w:sz="0" w:space="0" w:color="auto"/>
            <w:left w:val="none" w:sz="0" w:space="0" w:color="auto"/>
            <w:bottom w:val="none" w:sz="0" w:space="0" w:color="auto"/>
            <w:right w:val="none" w:sz="0" w:space="0" w:color="auto"/>
          </w:divBdr>
        </w:div>
        <w:div w:id="1511796119">
          <w:marLeft w:val="0"/>
          <w:marRight w:val="0"/>
          <w:marTop w:val="120"/>
          <w:marBottom w:val="120"/>
          <w:divBdr>
            <w:top w:val="none" w:sz="0" w:space="0" w:color="auto"/>
            <w:left w:val="none" w:sz="0" w:space="0" w:color="auto"/>
            <w:bottom w:val="none" w:sz="0" w:space="0" w:color="auto"/>
            <w:right w:val="none" w:sz="0" w:space="0" w:color="auto"/>
          </w:divBdr>
        </w:div>
        <w:div w:id="246814438">
          <w:marLeft w:val="0"/>
          <w:marRight w:val="0"/>
          <w:marTop w:val="120"/>
          <w:marBottom w:val="120"/>
          <w:divBdr>
            <w:top w:val="none" w:sz="0" w:space="0" w:color="auto"/>
            <w:left w:val="none" w:sz="0" w:space="0" w:color="auto"/>
            <w:bottom w:val="none" w:sz="0" w:space="0" w:color="auto"/>
            <w:right w:val="none" w:sz="0" w:space="0" w:color="auto"/>
          </w:divBdr>
        </w:div>
        <w:div w:id="110586870">
          <w:marLeft w:val="0"/>
          <w:marRight w:val="0"/>
          <w:marTop w:val="120"/>
          <w:marBottom w:val="120"/>
          <w:divBdr>
            <w:top w:val="none" w:sz="0" w:space="0" w:color="auto"/>
            <w:left w:val="none" w:sz="0" w:space="0" w:color="auto"/>
            <w:bottom w:val="none" w:sz="0" w:space="0" w:color="auto"/>
            <w:right w:val="none" w:sz="0" w:space="0" w:color="auto"/>
          </w:divBdr>
        </w:div>
        <w:div w:id="1368408788">
          <w:marLeft w:val="0"/>
          <w:marRight w:val="0"/>
          <w:marTop w:val="120"/>
          <w:marBottom w:val="120"/>
          <w:divBdr>
            <w:top w:val="none" w:sz="0" w:space="0" w:color="auto"/>
            <w:left w:val="none" w:sz="0" w:space="0" w:color="auto"/>
            <w:bottom w:val="none" w:sz="0" w:space="0" w:color="auto"/>
            <w:right w:val="none" w:sz="0" w:space="0" w:color="auto"/>
          </w:divBdr>
        </w:div>
        <w:div w:id="1366105090">
          <w:marLeft w:val="0"/>
          <w:marRight w:val="0"/>
          <w:marTop w:val="120"/>
          <w:marBottom w:val="120"/>
          <w:divBdr>
            <w:top w:val="none" w:sz="0" w:space="0" w:color="auto"/>
            <w:left w:val="none" w:sz="0" w:space="0" w:color="auto"/>
            <w:bottom w:val="none" w:sz="0" w:space="0" w:color="auto"/>
            <w:right w:val="none" w:sz="0" w:space="0" w:color="auto"/>
          </w:divBdr>
        </w:div>
        <w:div w:id="224950183">
          <w:marLeft w:val="0"/>
          <w:marRight w:val="0"/>
          <w:marTop w:val="120"/>
          <w:marBottom w:val="120"/>
          <w:divBdr>
            <w:top w:val="none" w:sz="0" w:space="0" w:color="auto"/>
            <w:left w:val="none" w:sz="0" w:space="0" w:color="auto"/>
            <w:bottom w:val="none" w:sz="0" w:space="0" w:color="auto"/>
            <w:right w:val="none" w:sz="0" w:space="0" w:color="auto"/>
          </w:divBdr>
        </w:div>
        <w:div w:id="1532645645">
          <w:marLeft w:val="0"/>
          <w:marRight w:val="0"/>
          <w:marTop w:val="120"/>
          <w:marBottom w:val="120"/>
          <w:divBdr>
            <w:top w:val="none" w:sz="0" w:space="0" w:color="auto"/>
            <w:left w:val="none" w:sz="0" w:space="0" w:color="auto"/>
            <w:bottom w:val="none" w:sz="0" w:space="0" w:color="auto"/>
            <w:right w:val="none" w:sz="0" w:space="0" w:color="auto"/>
          </w:divBdr>
        </w:div>
        <w:div w:id="191234857">
          <w:marLeft w:val="0"/>
          <w:marRight w:val="0"/>
          <w:marTop w:val="120"/>
          <w:marBottom w:val="120"/>
          <w:divBdr>
            <w:top w:val="none" w:sz="0" w:space="0" w:color="auto"/>
            <w:left w:val="none" w:sz="0" w:space="0" w:color="auto"/>
            <w:bottom w:val="none" w:sz="0" w:space="0" w:color="auto"/>
            <w:right w:val="none" w:sz="0" w:space="0" w:color="auto"/>
          </w:divBdr>
        </w:div>
        <w:div w:id="1110901774">
          <w:marLeft w:val="0"/>
          <w:marRight w:val="0"/>
          <w:marTop w:val="120"/>
          <w:marBottom w:val="120"/>
          <w:divBdr>
            <w:top w:val="none" w:sz="0" w:space="0" w:color="auto"/>
            <w:left w:val="none" w:sz="0" w:space="0" w:color="auto"/>
            <w:bottom w:val="none" w:sz="0" w:space="0" w:color="auto"/>
            <w:right w:val="none" w:sz="0" w:space="0" w:color="auto"/>
          </w:divBdr>
        </w:div>
        <w:div w:id="119543294">
          <w:marLeft w:val="0"/>
          <w:marRight w:val="0"/>
          <w:marTop w:val="120"/>
          <w:marBottom w:val="120"/>
          <w:divBdr>
            <w:top w:val="none" w:sz="0" w:space="0" w:color="auto"/>
            <w:left w:val="none" w:sz="0" w:space="0" w:color="auto"/>
            <w:bottom w:val="none" w:sz="0" w:space="0" w:color="auto"/>
            <w:right w:val="none" w:sz="0" w:space="0" w:color="auto"/>
          </w:divBdr>
        </w:div>
        <w:div w:id="1032993556">
          <w:marLeft w:val="0"/>
          <w:marRight w:val="0"/>
          <w:marTop w:val="120"/>
          <w:marBottom w:val="120"/>
          <w:divBdr>
            <w:top w:val="none" w:sz="0" w:space="0" w:color="auto"/>
            <w:left w:val="none" w:sz="0" w:space="0" w:color="auto"/>
            <w:bottom w:val="none" w:sz="0" w:space="0" w:color="auto"/>
            <w:right w:val="none" w:sz="0" w:space="0" w:color="auto"/>
          </w:divBdr>
        </w:div>
        <w:div w:id="2115780088">
          <w:marLeft w:val="0"/>
          <w:marRight w:val="0"/>
          <w:marTop w:val="120"/>
          <w:marBottom w:val="120"/>
          <w:divBdr>
            <w:top w:val="none" w:sz="0" w:space="0" w:color="auto"/>
            <w:left w:val="none" w:sz="0" w:space="0" w:color="auto"/>
            <w:bottom w:val="none" w:sz="0" w:space="0" w:color="auto"/>
            <w:right w:val="none" w:sz="0" w:space="0" w:color="auto"/>
          </w:divBdr>
        </w:div>
        <w:div w:id="2053923831">
          <w:marLeft w:val="0"/>
          <w:marRight w:val="0"/>
          <w:marTop w:val="120"/>
          <w:marBottom w:val="120"/>
          <w:divBdr>
            <w:top w:val="none" w:sz="0" w:space="0" w:color="auto"/>
            <w:left w:val="none" w:sz="0" w:space="0" w:color="auto"/>
            <w:bottom w:val="none" w:sz="0" w:space="0" w:color="auto"/>
            <w:right w:val="none" w:sz="0" w:space="0" w:color="auto"/>
          </w:divBdr>
        </w:div>
        <w:div w:id="419910343">
          <w:marLeft w:val="0"/>
          <w:marRight w:val="0"/>
          <w:marTop w:val="120"/>
          <w:marBottom w:val="120"/>
          <w:divBdr>
            <w:top w:val="none" w:sz="0" w:space="0" w:color="auto"/>
            <w:left w:val="none" w:sz="0" w:space="0" w:color="auto"/>
            <w:bottom w:val="none" w:sz="0" w:space="0" w:color="auto"/>
            <w:right w:val="none" w:sz="0" w:space="0" w:color="auto"/>
          </w:divBdr>
        </w:div>
        <w:div w:id="1129738973">
          <w:marLeft w:val="0"/>
          <w:marRight w:val="0"/>
          <w:marTop w:val="120"/>
          <w:marBottom w:val="120"/>
          <w:divBdr>
            <w:top w:val="none" w:sz="0" w:space="0" w:color="auto"/>
            <w:left w:val="none" w:sz="0" w:space="0" w:color="auto"/>
            <w:bottom w:val="none" w:sz="0" w:space="0" w:color="auto"/>
            <w:right w:val="none" w:sz="0" w:space="0" w:color="auto"/>
          </w:divBdr>
        </w:div>
        <w:div w:id="738791287">
          <w:marLeft w:val="0"/>
          <w:marRight w:val="0"/>
          <w:marTop w:val="120"/>
          <w:marBottom w:val="120"/>
          <w:divBdr>
            <w:top w:val="none" w:sz="0" w:space="0" w:color="auto"/>
            <w:left w:val="none" w:sz="0" w:space="0" w:color="auto"/>
            <w:bottom w:val="none" w:sz="0" w:space="0" w:color="auto"/>
            <w:right w:val="none" w:sz="0" w:space="0" w:color="auto"/>
          </w:divBdr>
        </w:div>
        <w:div w:id="1614363409">
          <w:marLeft w:val="0"/>
          <w:marRight w:val="0"/>
          <w:marTop w:val="120"/>
          <w:marBottom w:val="120"/>
          <w:divBdr>
            <w:top w:val="none" w:sz="0" w:space="0" w:color="auto"/>
            <w:left w:val="none" w:sz="0" w:space="0" w:color="auto"/>
            <w:bottom w:val="none" w:sz="0" w:space="0" w:color="auto"/>
            <w:right w:val="none" w:sz="0" w:space="0" w:color="auto"/>
          </w:divBdr>
        </w:div>
        <w:div w:id="561915846">
          <w:marLeft w:val="0"/>
          <w:marRight w:val="0"/>
          <w:marTop w:val="120"/>
          <w:marBottom w:val="120"/>
          <w:divBdr>
            <w:top w:val="none" w:sz="0" w:space="0" w:color="auto"/>
            <w:left w:val="none" w:sz="0" w:space="0" w:color="auto"/>
            <w:bottom w:val="none" w:sz="0" w:space="0" w:color="auto"/>
            <w:right w:val="none" w:sz="0" w:space="0" w:color="auto"/>
          </w:divBdr>
        </w:div>
        <w:div w:id="2008819609">
          <w:marLeft w:val="0"/>
          <w:marRight w:val="0"/>
          <w:marTop w:val="120"/>
          <w:marBottom w:val="120"/>
          <w:divBdr>
            <w:top w:val="none" w:sz="0" w:space="0" w:color="auto"/>
            <w:left w:val="none" w:sz="0" w:space="0" w:color="auto"/>
            <w:bottom w:val="none" w:sz="0" w:space="0" w:color="auto"/>
            <w:right w:val="none" w:sz="0" w:space="0" w:color="auto"/>
          </w:divBdr>
        </w:div>
        <w:div w:id="654450640">
          <w:marLeft w:val="0"/>
          <w:marRight w:val="0"/>
          <w:marTop w:val="120"/>
          <w:marBottom w:val="120"/>
          <w:divBdr>
            <w:top w:val="none" w:sz="0" w:space="0" w:color="auto"/>
            <w:left w:val="none" w:sz="0" w:space="0" w:color="auto"/>
            <w:bottom w:val="none" w:sz="0" w:space="0" w:color="auto"/>
            <w:right w:val="none" w:sz="0" w:space="0" w:color="auto"/>
          </w:divBdr>
        </w:div>
        <w:div w:id="285627622">
          <w:marLeft w:val="0"/>
          <w:marRight w:val="0"/>
          <w:marTop w:val="120"/>
          <w:marBottom w:val="120"/>
          <w:divBdr>
            <w:top w:val="none" w:sz="0" w:space="0" w:color="auto"/>
            <w:left w:val="none" w:sz="0" w:space="0" w:color="auto"/>
            <w:bottom w:val="none" w:sz="0" w:space="0" w:color="auto"/>
            <w:right w:val="none" w:sz="0" w:space="0" w:color="auto"/>
          </w:divBdr>
        </w:div>
        <w:div w:id="482238482">
          <w:marLeft w:val="0"/>
          <w:marRight w:val="0"/>
          <w:marTop w:val="120"/>
          <w:marBottom w:val="120"/>
          <w:divBdr>
            <w:top w:val="none" w:sz="0" w:space="0" w:color="auto"/>
            <w:left w:val="none" w:sz="0" w:space="0" w:color="auto"/>
            <w:bottom w:val="none" w:sz="0" w:space="0" w:color="auto"/>
            <w:right w:val="none" w:sz="0" w:space="0" w:color="auto"/>
          </w:divBdr>
        </w:div>
        <w:div w:id="690648049">
          <w:marLeft w:val="0"/>
          <w:marRight w:val="0"/>
          <w:marTop w:val="120"/>
          <w:marBottom w:val="120"/>
          <w:divBdr>
            <w:top w:val="none" w:sz="0" w:space="0" w:color="auto"/>
            <w:left w:val="none" w:sz="0" w:space="0" w:color="auto"/>
            <w:bottom w:val="none" w:sz="0" w:space="0" w:color="auto"/>
            <w:right w:val="none" w:sz="0" w:space="0" w:color="auto"/>
          </w:divBdr>
        </w:div>
        <w:div w:id="210463805">
          <w:marLeft w:val="0"/>
          <w:marRight w:val="0"/>
          <w:marTop w:val="120"/>
          <w:marBottom w:val="120"/>
          <w:divBdr>
            <w:top w:val="none" w:sz="0" w:space="0" w:color="auto"/>
            <w:left w:val="none" w:sz="0" w:space="0" w:color="auto"/>
            <w:bottom w:val="none" w:sz="0" w:space="0" w:color="auto"/>
            <w:right w:val="none" w:sz="0" w:space="0" w:color="auto"/>
          </w:divBdr>
        </w:div>
        <w:div w:id="350690728">
          <w:marLeft w:val="0"/>
          <w:marRight w:val="0"/>
          <w:marTop w:val="120"/>
          <w:marBottom w:val="120"/>
          <w:divBdr>
            <w:top w:val="none" w:sz="0" w:space="0" w:color="auto"/>
            <w:left w:val="none" w:sz="0" w:space="0" w:color="auto"/>
            <w:bottom w:val="none" w:sz="0" w:space="0" w:color="auto"/>
            <w:right w:val="none" w:sz="0" w:space="0" w:color="auto"/>
          </w:divBdr>
        </w:div>
        <w:div w:id="1454250887">
          <w:marLeft w:val="0"/>
          <w:marRight w:val="0"/>
          <w:marTop w:val="120"/>
          <w:marBottom w:val="120"/>
          <w:divBdr>
            <w:top w:val="none" w:sz="0" w:space="0" w:color="auto"/>
            <w:left w:val="none" w:sz="0" w:space="0" w:color="auto"/>
            <w:bottom w:val="none" w:sz="0" w:space="0" w:color="auto"/>
            <w:right w:val="none" w:sz="0" w:space="0" w:color="auto"/>
          </w:divBdr>
        </w:div>
        <w:div w:id="467934679">
          <w:marLeft w:val="0"/>
          <w:marRight w:val="0"/>
          <w:marTop w:val="120"/>
          <w:marBottom w:val="120"/>
          <w:divBdr>
            <w:top w:val="none" w:sz="0" w:space="0" w:color="auto"/>
            <w:left w:val="none" w:sz="0" w:space="0" w:color="auto"/>
            <w:bottom w:val="none" w:sz="0" w:space="0" w:color="auto"/>
            <w:right w:val="none" w:sz="0" w:space="0" w:color="auto"/>
          </w:divBdr>
        </w:div>
        <w:div w:id="1565145447">
          <w:marLeft w:val="0"/>
          <w:marRight w:val="0"/>
          <w:marTop w:val="120"/>
          <w:marBottom w:val="120"/>
          <w:divBdr>
            <w:top w:val="none" w:sz="0" w:space="0" w:color="auto"/>
            <w:left w:val="none" w:sz="0" w:space="0" w:color="auto"/>
            <w:bottom w:val="none" w:sz="0" w:space="0" w:color="auto"/>
            <w:right w:val="none" w:sz="0" w:space="0" w:color="auto"/>
          </w:divBdr>
        </w:div>
        <w:div w:id="1314946346">
          <w:marLeft w:val="0"/>
          <w:marRight w:val="0"/>
          <w:marTop w:val="120"/>
          <w:marBottom w:val="120"/>
          <w:divBdr>
            <w:top w:val="none" w:sz="0" w:space="0" w:color="auto"/>
            <w:left w:val="none" w:sz="0" w:space="0" w:color="auto"/>
            <w:bottom w:val="none" w:sz="0" w:space="0" w:color="auto"/>
            <w:right w:val="none" w:sz="0" w:space="0" w:color="auto"/>
          </w:divBdr>
        </w:div>
        <w:div w:id="1481381955">
          <w:marLeft w:val="0"/>
          <w:marRight w:val="0"/>
          <w:marTop w:val="120"/>
          <w:marBottom w:val="120"/>
          <w:divBdr>
            <w:top w:val="none" w:sz="0" w:space="0" w:color="auto"/>
            <w:left w:val="none" w:sz="0" w:space="0" w:color="auto"/>
            <w:bottom w:val="none" w:sz="0" w:space="0" w:color="auto"/>
            <w:right w:val="none" w:sz="0" w:space="0" w:color="auto"/>
          </w:divBdr>
        </w:div>
        <w:div w:id="1059330871">
          <w:marLeft w:val="0"/>
          <w:marRight w:val="0"/>
          <w:marTop w:val="120"/>
          <w:marBottom w:val="120"/>
          <w:divBdr>
            <w:top w:val="none" w:sz="0" w:space="0" w:color="auto"/>
            <w:left w:val="none" w:sz="0" w:space="0" w:color="auto"/>
            <w:bottom w:val="none" w:sz="0" w:space="0" w:color="auto"/>
            <w:right w:val="none" w:sz="0" w:space="0" w:color="auto"/>
          </w:divBdr>
        </w:div>
        <w:div w:id="235475373">
          <w:marLeft w:val="0"/>
          <w:marRight w:val="0"/>
          <w:marTop w:val="120"/>
          <w:marBottom w:val="120"/>
          <w:divBdr>
            <w:top w:val="none" w:sz="0" w:space="0" w:color="auto"/>
            <w:left w:val="none" w:sz="0" w:space="0" w:color="auto"/>
            <w:bottom w:val="none" w:sz="0" w:space="0" w:color="auto"/>
            <w:right w:val="none" w:sz="0" w:space="0" w:color="auto"/>
          </w:divBdr>
        </w:div>
        <w:div w:id="665942211">
          <w:marLeft w:val="0"/>
          <w:marRight w:val="0"/>
          <w:marTop w:val="120"/>
          <w:marBottom w:val="120"/>
          <w:divBdr>
            <w:top w:val="none" w:sz="0" w:space="0" w:color="auto"/>
            <w:left w:val="none" w:sz="0" w:space="0" w:color="auto"/>
            <w:bottom w:val="none" w:sz="0" w:space="0" w:color="auto"/>
            <w:right w:val="none" w:sz="0" w:space="0" w:color="auto"/>
          </w:divBdr>
        </w:div>
        <w:div w:id="196705552">
          <w:marLeft w:val="0"/>
          <w:marRight w:val="0"/>
          <w:marTop w:val="120"/>
          <w:marBottom w:val="120"/>
          <w:divBdr>
            <w:top w:val="none" w:sz="0" w:space="0" w:color="auto"/>
            <w:left w:val="none" w:sz="0" w:space="0" w:color="auto"/>
            <w:bottom w:val="none" w:sz="0" w:space="0" w:color="auto"/>
            <w:right w:val="none" w:sz="0" w:space="0" w:color="auto"/>
          </w:divBdr>
        </w:div>
        <w:div w:id="253560479">
          <w:marLeft w:val="0"/>
          <w:marRight w:val="0"/>
          <w:marTop w:val="120"/>
          <w:marBottom w:val="120"/>
          <w:divBdr>
            <w:top w:val="none" w:sz="0" w:space="0" w:color="auto"/>
            <w:left w:val="none" w:sz="0" w:space="0" w:color="auto"/>
            <w:bottom w:val="none" w:sz="0" w:space="0" w:color="auto"/>
            <w:right w:val="none" w:sz="0" w:space="0" w:color="auto"/>
          </w:divBdr>
        </w:div>
        <w:div w:id="2119786859">
          <w:marLeft w:val="0"/>
          <w:marRight w:val="0"/>
          <w:marTop w:val="120"/>
          <w:marBottom w:val="120"/>
          <w:divBdr>
            <w:top w:val="none" w:sz="0" w:space="0" w:color="auto"/>
            <w:left w:val="none" w:sz="0" w:space="0" w:color="auto"/>
            <w:bottom w:val="none" w:sz="0" w:space="0" w:color="auto"/>
            <w:right w:val="none" w:sz="0" w:space="0" w:color="auto"/>
          </w:divBdr>
        </w:div>
        <w:div w:id="1873225020">
          <w:marLeft w:val="0"/>
          <w:marRight w:val="0"/>
          <w:marTop w:val="120"/>
          <w:marBottom w:val="120"/>
          <w:divBdr>
            <w:top w:val="none" w:sz="0" w:space="0" w:color="auto"/>
            <w:left w:val="none" w:sz="0" w:space="0" w:color="auto"/>
            <w:bottom w:val="none" w:sz="0" w:space="0" w:color="auto"/>
            <w:right w:val="none" w:sz="0" w:space="0" w:color="auto"/>
          </w:divBdr>
        </w:div>
        <w:div w:id="134182885">
          <w:marLeft w:val="0"/>
          <w:marRight w:val="0"/>
          <w:marTop w:val="120"/>
          <w:marBottom w:val="120"/>
          <w:divBdr>
            <w:top w:val="none" w:sz="0" w:space="0" w:color="auto"/>
            <w:left w:val="none" w:sz="0" w:space="0" w:color="auto"/>
            <w:bottom w:val="none" w:sz="0" w:space="0" w:color="auto"/>
            <w:right w:val="none" w:sz="0" w:space="0" w:color="auto"/>
          </w:divBdr>
        </w:div>
        <w:div w:id="986933854">
          <w:marLeft w:val="0"/>
          <w:marRight w:val="0"/>
          <w:marTop w:val="120"/>
          <w:marBottom w:val="120"/>
          <w:divBdr>
            <w:top w:val="none" w:sz="0" w:space="0" w:color="auto"/>
            <w:left w:val="none" w:sz="0" w:space="0" w:color="auto"/>
            <w:bottom w:val="none" w:sz="0" w:space="0" w:color="auto"/>
            <w:right w:val="none" w:sz="0" w:space="0" w:color="auto"/>
          </w:divBdr>
        </w:div>
        <w:div w:id="1225139609">
          <w:marLeft w:val="0"/>
          <w:marRight w:val="0"/>
          <w:marTop w:val="120"/>
          <w:marBottom w:val="120"/>
          <w:divBdr>
            <w:top w:val="none" w:sz="0" w:space="0" w:color="auto"/>
            <w:left w:val="none" w:sz="0" w:space="0" w:color="auto"/>
            <w:bottom w:val="none" w:sz="0" w:space="0" w:color="auto"/>
            <w:right w:val="none" w:sz="0" w:space="0" w:color="auto"/>
          </w:divBdr>
        </w:div>
        <w:div w:id="2002535625">
          <w:marLeft w:val="0"/>
          <w:marRight w:val="0"/>
          <w:marTop w:val="120"/>
          <w:marBottom w:val="120"/>
          <w:divBdr>
            <w:top w:val="none" w:sz="0" w:space="0" w:color="auto"/>
            <w:left w:val="none" w:sz="0" w:space="0" w:color="auto"/>
            <w:bottom w:val="none" w:sz="0" w:space="0" w:color="auto"/>
            <w:right w:val="none" w:sz="0" w:space="0" w:color="auto"/>
          </w:divBdr>
        </w:div>
        <w:div w:id="1903520314">
          <w:marLeft w:val="0"/>
          <w:marRight w:val="0"/>
          <w:marTop w:val="120"/>
          <w:marBottom w:val="120"/>
          <w:divBdr>
            <w:top w:val="none" w:sz="0" w:space="0" w:color="auto"/>
            <w:left w:val="none" w:sz="0" w:space="0" w:color="auto"/>
            <w:bottom w:val="none" w:sz="0" w:space="0" w:color="auto"/>
            <w:right w:val="none" w:sz="0" w:space="0" w:color="auto"/>
          </w:divBdr>
        </w:div>
        <w:div w:id="1201360347">
          <w:marLeft w:val="0"/>
          <w:marRight w:val="0"/>
          <w:marTop w:val="120"/>
          <w:marBottom w:val="120"/>
          <w:divBdr>
            <w:top w:val="none" w:sz="0" w:space="0" w:color="auto"/>
            <w:left w:val="none" w:sz="0" w:space="0" w:color="auto"/>
            <w:bottom w:val="none" w:sz="0" w:space="0" w:color="auto"/>
            <w:right w:val="none" w:sz="0" w:space="0" w:color="auto"/>
          </w:divBdr>
        </w:div>
        <w:div w:id="958686054">
          <w:marLeft w:val="0"/>
          <w:marRight w:val="0"/>
          <w:marTop w:val="120"/>
          <w:marBottom w:val="120"/>
          <w:divBdr>
            <w:top w:val="none" w:sz="0" w:space="0" w:color="auto"/>
            <w:left w:val="none" w:sz="0" w:space="0" w:color="auto"/>
            <w:bottom w:val="none" w:sz="0" w:space="0" w:color="auto"/>
            <w:right w:val="none" w:sz="0" w:space="0" w:color="auto"/>
          </w:divBdr>
        </w:div>
        <w:div w:id="1633444202">
          <w:marLeft w:val="0"/>
          <w:marRight w:val="0"/>
          <w:marTop w:val="120"/>
          <w:marBottom w:val="120"/>
          <w:divBdr>
            <w:top w:val="none" w:sz="0" w:space="0" w:color="auto"/>
            <w:left w:val="none" w:sz="0" w:space="0" w:color="auto"/>
            <w:bottom w:val="none" w:sz="0" w:space="0" w:color="auto"/>
            <w:right w:val="none" w:sz="0" w:space="0" w:color="auto"/>
          </w:divBdr>
        </w:div>
        <w:div w:id="623850827">
          <w:marLeft w:val="0"/>
          <w:marRight w:val="0"/>
          <w:marTop w:val="120"/>
          <w:marBottom w:val="120"/>
          <w:divBdr>
            <w:top w:val="none" w:sz="0" w:space="0" w:color="auto"/>
            <w:left w:val="none" w:sz="0" w:space="0" w:color="auto"/>
            <w:bottom w:val="none" w:sz="0" w:space="0" w:color="auto"/>
            <w:right w:val="none" w:sz="0" w:space="0" w:color="auto"/>
          </w:divBdr>
        </w:div>
        <w:div w:id="288367691">
          <w:marLeft w:val="0"/>
          <w:marRight w:val="0"/>
          <w:marTop w:val="120"/>
          <w:marBottom w:val="120"/>
          <w:divBdr>
            <w:top w:val="none" w:sz="0" w:space="0" w:color="auto"/>
            <w:left w:val="none" w:sz="0" w:space="0" w:color="auto"/>
            <w:bottom w:val="none" w:sz="0" w:space="0" w:color="auto"/>
            <w:right w:val="none" w:sz="0" w:space="0" w:color="auto"/>
          </w:divBdr>
        </w:div>
        <w:div w:id="1723674853">
          <w:marLeft w:val="0"/>
          <w:marRight w:val="0"/>
          <w:marTop w:val="120"/>
          <w:marBottom w:val="120"/>
          <w:divBdr>
            <w:top w:val="none" w:sz="0" w:space="0" w:color="auto"/>
            <w:left w:val="none" w:sz="0" w:space="0" w:color="auto"/>
            <w:bottom w:val="none" w:sz="0" w:space="0" w:color="auto"/>
            <w:right w:val="none" w:sz="0" w:space="0" w:color="auto"/>
          </w:divBdr>
        </w:div>
        <w:div w:id="321200884">
          <w:marLeft w:val="0"/>
          <w:marRight w:val="0"/>
          <w:marTop w:val="120"/>
          <w:marBottom w:val="120"/>
          <w:divBdr>
            <w:top w:val="none" w:sz="0" w:space="0" w:color="auto"/>
            <w:left w:val="none" w:sz="0" w:space="0" w:color="auto"/>
            <w:bottom w:val="none" w:sz="0" w:space="0" w:color="auto"/>
            <w:right w:val="none" w:sz="0" w:space="0" w:color="auto"/>
          </w:divBdr>
        </w:div>
        <w:div w:id="1416779472">
          <w:marLeft w:val="0"/>
          <w:marRight w:val="0"/>
          <w:marTop w:val="120"/>
          <w:marBottom w:val="120"/>
          <w:divBdr>
            <w:top w:val="none" w:sz="0" w:space="0" w:color="auto"/>
            <w:left w:val="none" w:sz="0" w:space="0" w:color="auto"/>
            <w:bottom w:val="none" w:sz="0" w:space="0" w:color="auto"/>
            <w:right w:val="none" w:sz="0" w:space="0" w:color="auto"/>
          </w:divBdr>
        </w:div>
        <w:div w:id="354044546">
          <w:marLeft w:val="0"/>
          <w:marRight w:val="0"/>
          <w:marTop w:val="120"/>
          <w:marBottom w:val="120"/>
          <w:divBdr>
            <w:top w:val="none" w:sz="0" w:space="0" w:color="auto"/>
            <w:left w:val="none" w:sz="0" w:space="0" w:color="auto"/>
            <w:bottom w:val="none" w:sz="0" w:space="0" w:color="auto"/>
            <w:right w:val="none" w:sz="0" w:space="0" w:color="auto"/>
          </w:divBdr>
        </w:div>
        <w:div w:id="90201902">
          <w:marLeft w:val="0"/>
          <w:marRight w:val="0"/>
          <w:marTop w:val="120"/>
          <w:marBottom w:val="120"/>
          <w:divBdr>
            <w:top w:val="none" w:sz="0" w:space="0" w:color="auto"/>
            <w:left w:val="none" w:sz="0" w:space="0" w:color="auto"/>
            <w:bottom w:val="none" w:sz="0" w:space="0" w:color="auto"/>
            <w:right w:val="none" w:sz="0" w:space="0" w:color="auto"/>
          </w:divBdr>
        </w:div>
        <w:div w:id="283967928">
          <w:marLeft w:val="0"/>
          <w:marRight w:val="0"/>
          <w:marTop w:val="120"/>
          <w:marBottom w:val="120"/>
          <w:divBdr>
            <w:top w:val="none" w:sz="0" w:space="0" w:color="auto"/>
            <w:left w:val="none" w:sz="0" w:space="0" w:color="auto"/>
            <w:bottom w:val="none" w:sz="0" w:space="0" w:color="auto"/>
            <w:right w:val="none" w:sz="0" w:space="0" w:color="auto"/>
          </w:divBdr>
        </w:div>
        <w:div w:id="65884118">
          <w:marLeft w:val="0"/>
          <w:marRight w:val="0"/>
          <w:marTop w:val="120"/>
          <w:marBottom w:val="120"/>
          <w:divBdr>
            <w:top w:val="none" w:sz="0" w:space="0" w:color="auto"/>
            <w:left w:val="none" w:sz="0" w:space="0" w:color="auto"/>
            <w:bottom w:val="none" w:sz="0" w:space="0" w:color="auto"/>
            <w:right w:val="none" w:sz="0" w:space="0" w:color="auto"/>
          </w:divBdr>
        </w:div>
        <w:div w:id="1531651587">
          <w:marLeft w:val="0"/>
          <w:marRight w:val="0"/>
          <w:marTop w:val="120"/>
          <w:marBottom w:val="120"/>
          <w:divBdr>
            <w:top w:val="none" w:sz="0" w:space="0" w:color="auto"/>
            <w:left w:val="none" w:sz="0" w:space="0" w:color="auto"/>
            <w:bottom w:val="none" w:sz="0" w:space="0" w:color="auto"/>
            <w:right w:val="none" w:sz="0" w:space="0" w:color="auto"/>
          </w:divBdr>
        </w:div>
        <w:div w:id="1161892217">
          <w:marLeft w:val="0"/>
          <w:marRight w:val="0"/>
          <w:marTop w:val="120"/>
          <w:marBottom w:val="120"/>
          <w:divBdr>
            <w:top w:val="none" w:sz="0" w:space="0" w:color="auto"/>
            <w:left w:val="none" w:sz="0" w:space="0" w:color="auto"/>
            <w:bottom w:val="none" w:sz="0" w:space="0" w:color="auto"/>
            <w:right w:val="none" w:sz="0" w:space="0" w:color="auto"/>
          </w:divBdr>
        </w:div>
        <w:div w:id="1330211962">
          <w:marLeft w:val="0"/>
          <w:marRight w:val="0"/>
          <w:marTop w:val="120"/>
          <w:marBottom w:val="120"/>
          <w:divBdr>
            <w:top w:val="none" w:sz="0" w:space="0" w:color="auto"/>
            <w:left w:val="none" w:sz="0" w:space="0" w:color="auto"/>
            <w:bottom w:val="none" w:sz="0" w:space="0" w:color="auto"/>
            <w:right w:val="none" w:sz="0" w:space="0" w:color="auto"/>
          </w:divBdr>
        </w:div>
        <w:div w:id="1310283258">
          <w:marLeft w:val="0"/>
          <w:marRight w:val="0"/>
          <w:marTop w:val="120"/>
          <w:marBottom w:val="120"/>
          <w:divBdr>
            <w:top w:val="none" w:sz="0" w:space="0" w:color="auto"/>
            <w:left w:val="none" w:sz="0" w:space="0" w:color="auto"/>
            <w:bottom w:val="none" w:sz="0" w:space="0" w:color="auto"/>
            <w:right w:val="none" w:sz="0" w:space="0" w:color="auto"/>
          </w:divBdr>
        </w:div>
        <w:div w:id="1810052981">
          <w:marLeft w:val="0"/>
          <w:marRight w:val="0"/>
          <w:marTop w:val="120"/>
          <w:marBottom w:val="120"/>
          <w:divBdr>
            <w:top w:val="none" w:sz="0" w:space="0" w:color="auto"/>
            <w:left w:val="none" w:sz="0" w:space="0" w:color="auto"/>
            <w:bottom w:val="none" w:sz="0" w:space="0" w:color="auto"/>
            <w:right w:val="none" w:sz="0" w:space="0" w:color="auto"/>
          </w:divBdr>
        </w:div>
        <w:div w:id="425615333">
          <w:marLeft w:val="0"/>
          <w:marRight w:val="0"/>
          <w:marTop w:val="120"/>
          <w:marBottom w:val="120"/>
          <w:divBdr>
            <w:top w:val="none" w:sz="0" w:space="0" w:color="auto"/>
            <w:left w:val="none" w:sz="0" w:space="0" w:color="auto"/>
            <w:bottom w:val="none" w:sz="0" w:space="0" w:color="auto"/>
            <w:right w:val="none" w:sz="0" w:space="0" w:color="auto"/>
          </w:divBdr>
        </w:div>
        <w:div w:id="213547879">
          <w:marLeft w:val="0"/>
          <w:marRight w:val="0"/>
          <w:marTop w:val="120"/>
          <w:marBottom w:val="120"/>
          <w:divBdr>
            <w:top w:val="none" w:sz="0" w:space="0" w:color="auto"/>
            <w:left w:val="none" w:sz="0" w:space="0" w:color="auto"/>
            <w:bottom w:val="none" w:sz="0" w:space="0" w:color="auto"/>
            <w:right w:val="none" w:sz="0" w:space="0" w:color="auto"/>
          </w:divBdr>
        </w:div>
        <w:div w:id="1036586031">
          <w:marLeft w:val="0"/>
          <w:marRight w:val="0"/>
          <w:marTop w:val="120"/>
          <w:marBottom w:val="120"/>
          <w:divBdr>
            <w:top w:val="none" w:sz="0" w:space="0" w:color="auto"/>
            <w:left w:val="none" w:sz="0" w:space="0" w:color="auto"/>
            <w:bottom w:val="none" w:sz="0" w:space="0" w:color="auto"/>
            <w:right w:val="none" w:sz="0" w:space="0" w:color="auto"/>
          </w:divBdr>
        </w:div>
        <w:div w:id="81487126">
          <w:marLeft w:val="0"/>
          <w:marRight w:val="0"/>
          <w:marTop w:val="120"/>
          <w:marBottom w:val="120"/>
          <w:divBdr>
            <w:top w:val="none" w:sz="0" w:space="0" w:color="auto"/>
            <w:left w:val="none" w:sz="0" w:space="0" w:color="auto"/>
            <w:bottom w:val="none" w:sz="0" w:space="0" w:color="auto"/>
            <w:right w:val="none" w:sz="0" w:space="0" w:color="auto"/>
          </w:divBdr>
        </w:div>
        <w:div w:id="1618828554">
          <w:marLeft w:val="0"/>
          <w:marRight w:val="0"/>
          <w:marTop w:val="120"/>
          <w:marBottom w:val="120"/>
          <w:divBdr>
            <w:top w:val="none" w:sz="0" w:space="0" w:color="auto"/>
            <w:left w:val="none" w:sz="0" w:space="0" w:color="auto"/>
            <w:bottom w:val="none" w:sz="0" w:space="0" w:color="auto"/>
            <w:right w:val="none" w:sz="0" w:space="0" w:color="auto"/>
          </w:divBdr>
        </w:div>
        <w:div w:id="973754366">
          <w:marLeft w:val="0"/>
          <w:marRight w:val="0"/>
          <w:marTop w:val="120"/>
          <w:marBottom w:val="120"/>
          <w:divBdr>
            <w:top w:val="none" w:sz="0" w:space="0" w:color="auto"/>
            <w:left w:val="none" w:sz="0" w:space="0" w:color="auto"/>
            <w:bottom w:val="none" w:sz="0" w:space="0" w:color="auto"/>
            <w:right w:val="none" w:sz="0" w:space="0" w:color="auto"/>
          </w:divBdr>
        </w:div>
        <w:div w:id="1353796704">
          <w:marLeft w:val="0"/>
          <w:marRight w:val="0"/>
          <w:marTop w:val="120"/>
          <w:marBottom w:val="120"/>
          <w:divBdr>
            <w:top w:val="none" w:sz="0" w:space="0" w:color="auto"/>
            <w:left w:val="none" w:sz="0" w:space="0" w:color="auto"/>
            <w:bottom w:val="none" w:sz="0" w:space="0" w:color="auto"/>
            <w:right w:val="none" w:sz="0" w:space="0" w:color="auto"/>
          </w:divBdr>
        </w:div>
        <w:div w:id="753937860">
          <w:marLeft w:val="0"/>
          <w:marRight w:val="0"/>
          <w:marTop w:val="120"/>
          <w:marBottom w:val="120"/>
          <w:divBdr>
            <w:top w:val="none" w:sz="0" w:space="0" w:color="auto"/>
            <w:left w:val="none" w:sz="0" w:space="0" w:color="auto"/>
            <w:bottom w:val="none" w:sz="0" w:space="0" w:color="auto"/>
            <w:right w:val="none" w:sz="0" w:space="0" w:color="auto"/>
          </w:divBdr>
        </w:div>
        <w:div w:id="1332492252">
          <w:marLeft w:val="0"/>
          <w:marRight w:val="0"/>
          <w:marTop w:val="120"/>
          <w:marBottom w:val="120"/>
          <w:divBdr>
            <w:top w:val="none" w:sz="0" w:space="0" w:color="auto"/>
            <w:left w:val="none" w:sz="0" w:space="0" w:color="auto"/>
            <w:bottom w:val="none" w:sz="0" w:space="0" w:color="auto"/>
            <w:right w:val="none" w:sz="0" w:space="0" w:color="auto"/>
          </w:divBdr>
        </w:div>
        <w:div w:id="269162876">
          <w:marLeft w:val="0"/>
          <w:marRight w:val="0"/>
          <w:marTop w:val="120"/>
          <w:marBottom w:val="120"/>
          <w:divBdr>
            <w:top w:val="none" w:sz="0" w:space="0" w:color="auto"/>
            <w:left w:val="none" w:sz="0" w:space="0" w:color="auto"/>
            <w:bottom w:val="none" w:sz="0" w:space="0" w:color="auto"/>
            <w:right w:val="none" w:sz="0" w:space="0" w:color="auto"/>
          </w:divBdr>
        </w:div>
        <w:div w:id="1211188234">
          <w:marLeft w:val="0"/>
          <w:marRight w:val="0"/>
          <w:marTop w:val="120"/>
          <w:marBottom w:val="120"/>
          <w:divBdr>
            <w:top w:val="none" w:sz="0" w:space="0" w:color="auto"/>
            <w:left w:val="none" w:sz="0" w:space="0" w:color="auto"/>
            <w:bottom w:val="none" w:sz="0" w:space="0" w:color="auto"/>
            <w:right w:val="none" w:sz="0" w:space="0" w:color="auto"/>
          </w:divBdr>
        </w:div>
        <w:div w:id="1414352399">
          <w:marLeft w:val="0"/>
          <w:marRight w:val="0"/>
          <w:marTop w:val="120"/>
          <w:marBottom w:val="120"/>
          <w:divBdr>
            <w:top w:val="none" w:sz="0" w:space="0" w:color="auto"/>
            <w:left w:val="none" w:sz="0" w:space="0" w:color="auto"/>
            <w:bottom w:val="none" w:sz="0" w:space="0" w:color="auto"/>
            <w:right w:val="none" w:sz="0" w:space="0" w:color="auto"/>
          </w:divBdr>
        </w:div>
        <w:div w:id="1967395596">
          <w:marLeft w:val="0"/>
          <w:marRight w:val="0"/>
          <w:marTop w:val="120"/>
          <w:marBottom w:val="120"/>
          <w:divBdr>
            <w:top w:val="none" w:sz="0" w:space="0" w:color="auto"/>
            <w:left w:val="none" w:sz="0" w:space="0" w:color="auto"/>
            <w:bottom w:val="none" w:sz="0" w:space="0" w:color="auto"/>
            <w:right w:val="none" w:sz="0" w:space="0" w:color="auto"/>
          </w:divBdr>
        </w:div>
        <w:div w:id="1386880400">
          <w:marLeft w:val="0"/>
          <w:marRight w:val="0"/>
          <w:marTop w:val="120"/>
          <w:marBottom w:val="120"/>
          <w:divBdr>
            <w:top w:val="none" w:sz="0" w:space="0" w:color="auto"/>
            <w:left w:val="none" w:sz="0" w:space="0" w:color="auto"/>
            <w:bottom w:val="none" w:sz="0" w:space="0" w:color="auto"/>
            <w:right w:val="none" w:sz="0" w:space="0" w:color="auto"/>
          </w:divBdr>
        </w:div>
        <w:div w:id="1061827600">
          <w:marLeft w:val="0"/>
          <w:marRight w:val="0"/>
          <w:marTop w:val="120"/>
          <w:marBottom w:val="120"/>
          <w:divBdr>
            <w:top w:val="none" w:sz="0" w:space="0" w:color="auto"/>
            <w:left w:val="none" w:sz="0" w:space="0" w:color="auto"/>
            <w:bottom w:val="none" w:sz="0" w:space="0" w:color="auto"/>
            <w:right w:val="none" w:sz="0" w:space="0" w:color="auto"/>
          </w:divBdr>
        </w:div>
        <w:div w:id="1545867151">
          <w:marLeft w:val="0"/>
          <w:marRight w:val="0"/>
          <w:marTop w:val="120"/>
          <w:marBottom w:val="120"/>
          <w:divBdr>
            <w:top w:val="none" w:sz="0" w:space="0" w:color="auto"/>
            <w:left w:val="none" w:sz="0" w:space="0" w:color="auto"/>
            <w:bottom w:val="none" w:sz="0" w:space="0" w:color="auto"/>
            <w:right w:val="none" w:sz="0" w:space="0" w:color="auto"/>
          </w:divBdr>
        </w:div>
        <w:div w:id="1865633153">
          <w:marLeft w:val="0"/>
          <w:marRight w:val="0"/>
          <w:marTop w:val="120"/>
          <w:marBottom w:val="120"/>
          <w:divBdr>
            <w:top w:val="none" w:sz="0" w:space="0" w:color="auto"/>
            <w:left w:val="none" w:sz="0" w:space="0" w:color="auto"/>
            <w:bottom w:val="none" w:sz="0" w:space="0" w:color="auto"/>
            <w:right w:val="none" w:sz="0" w:space="0" w:color="auto"/>
          </w:divBdr>
        </w:div>
        <w:div w:id="1952126277">
          <w:marLeft w:val="0"/>
          <w:marRight w:val="0"/>
          <w:marTop w:val="120"/>
          <w:marBottom w:val="120"/>
          <w:divBdr>
            <w:top w:val="none" w:sz="0" w:space="0" w:color="auto"/>
            <w:left w:val="none" w:sz="0" w:space="0" w:color="auto"/>
            <w:bottom w:val="none" w:sz="0" w:space="0" w:color="auto"/>
            <w:right w:val="none" w:sz="0" w:space="0" w:color="auto"/>
          </w:divBdr>
        </w:div>
        <w:div w:id="237568044">
          <w:marLeft w:val="0"/>
          <w:marRight w:val="0"/>
          <w:marTop w:val="120"/>
          <w:marBottom w:val="120"/>
          <w:divBdr>
            <w:top w:val="none" w:sz="0" w:space="0" w:color="auto"/>
            <w:left w:val="none" w:sz="0" w:space="0" w:color="auto"/>
            <w:bottom w:val="none" w:sz="0" w:space="0" w:color="auto"/>
            <w:right w:val="none" w:sz="0" w:space="0" w:color="auto"/>
          </w:divBdr>
        </w:div>
        <w:div w:id="535194679">
          <w:marLeft w:val="0"/>
          <w:marRight w:val="0"/>
          <w:marTop w:val="120"/>
          <w:marBottom w:val="120"/>
          <w:divBdr>
            <w:top w:val="none" w:sz="0" w:space="0" w:color="auto"/>
            <w:left w:val="none" w:sz="0" w:space="0" w:color="auto"/>
            <w:bottom w:val="none" w:sz="0" w:space="0" w:color="auto"/>
            <w:right w:val="none" w:sz="0" w:space="0" w:color="auto"/>
          </w:divBdr>
        </w:div>
        <w:div w:id="672489650">
          <w:marLeft w:val="0"/>
          <w:marRight w:val="0"/>
          <w:marTop w:val="120"/>
          <w:marBottom w:val="120"/>
          <w:divBdr>
            <w:top w:val="none" w:sz="0" w:space="0" w:color="auto"/>
            <w:left w:val="none" w:sz="0" w:space="0" w:color="auto"/>
            <w:bottom w:val="none" w:sz="0" w:space="0" w:color="auto"/>
            <w:right w:val="none" w:sz="0" w:space="0" w:color="auto"/>
          </w:divBdr>
        </w:div>
        <w:div w:id="572011028">
          <w:marLeft w:val="0"/>
          <w:marRight w:val="0"/>
          <w:marTop w:val="120"/>
          <w:marBottom w:val="120"/>
          <w:divBdr>
            <w:top w:val="none" w:sz="0" w:space="0" w:color="auto"/>
            <w:left w:val="none" w:sz="0" w:space="0" w:color="auto"/>
            <w:bottom w:val="none" w:sz="0" w:space="0" w:color="auto"/>
            <w:right w:val="none" w:sz="0" w:space="0" w:color="auto"/>
          </w:divBdr>
        </w:div>
        <w:div w:id="1024866501">
          <w:marLeft w:val="0"/>
          <w:marRight w:val="0"/>
          <w:marTop w:val="120"/>
          <w:marBottom w:val="120"/>
          <w:divBdr>
            <w:top w:val="none" w:sz="0" w:space="0" w:color="auto"/>
            <w:left w:val="none" w:sz="0" w:space="0" w:color="auto"/>
            <w:bottom w:val="none" w:sz="0" w:space="0" w:color="auto"/>
            <w:right w:val="none" w:sz="0" w:space="0" w:color="auto"/>
          </w:divBdr>
        </w:div>
        <w:div w:id="1684357999">
          <w:marLeft w:val="0"/>
          <w:marRight w:val="0"/>
          <w:marTop w:val="120"/>
          <w:marBottom w:val="120"/>
          <w:divBdr>
            <w:top w:val="none" w:sz="0" w:space="0" w:color="auto"/>
            <w:left w:val="none" w:sz="0" w:space="0" w:color="auto"/>
            <w:bottom w:val="none" w:sz="0" w:space="0" w:color="auto"/>
            <w:right w:val="none" w:sz="0" w:space="0" w:color="auto"/>
          </w:divBdr>
        </w:div>
        <w:div w:id="650644930">
          <w:marLeft w:val="0"/>
          <w:marRight w:val="0"/>
          <w:marTop w:val="120"/>
          <w:marBottom w:val="120"/>
          <w:divBdr>
            <w:top w:val="none" w:sz="0" w:space="0" w:color="auto"/>
            <w:left w:val="none" w:sz="0" w:space="0" w:color="auto"/>
            <w:bottom w:val="none" w:sz="0" w:space="0" w:color="auto"/>
            <w:right w:val="none" w:sz="0" w:space="0" w:color="auto"/>
          </w:divBdr>
        </w:div>
        <w:div w:id="1151285609">
          <w:marLeft w:val="0"/>
          <w:marRight w:val="0"/>
          <w:marTop w:val="120"/>
          <w:marBottom w:val="120"/>
          <w:divBdr>
            <w:top w:val="none" w:sz="0" w:space="0" w:color="auto"/>
            <w:left w:val="none" w:sz="0" w:space="0" w:color="auto"/>
            <w:bottom w:val="none" w:sz="0" w:space="0" w:color="auto"/>
            <w:right w:val="none" w:sz="0" w:space="0" w:color="auto"/>
          </w:divBdr>
        </w:div>
        <w:div w:id="436601077">
          <w:marLeft w:val="0"/>
          <w:marRight w:val="0"/>
          <w:marTop w:val="120"/>
          <w:marBottom w:val="120"/>
          <w:divBdr>
            <w:top w:val="none" w:sz="0" w:space="0" w:color="auto"/>
            <w:left w:val="none" w:sz="0" w:space="0" w:color="auto"/>
            <w:bottom w:val="none" w:sz="0" w:space="0" w:color="auto"/>
            <w:right w:val="none" w:sz="0" w:space="0" w:color="auto"/>
          </w:divBdr>
        </w:div>
        <w:div w:id="1278097344">
          <w:marLeft w:val="0"/>
          <w:marRight w:val="0"/>
          <w:marTop w:val="120"/>
          <w:marBottom w:val="120"/>
          <w:divBdr>
            <w:top w:val="none" w:sz="0" w:space="0" w:color="auto"/>
            <w:left w:val="none" w:sz="0" w:space="0" w:color="auto"/>
            <w:bottom w:val="none" w:sz="0" w:space="0" w:color="auto"/>
            <w:right w:val="none" w:sz="0" w:space="0" w:color="auto"/>
          </w:divBdr>
        </w:div>
        <w:div w:id="1460102095">
          <w:marLeft w:val="0"/>
          <w:marRight w:val="0"/>
          <w:marTop w:val="120"/>
          <w:marBottom w:val="120"/>
          <w:divBdr>
            <w:top w:val="none" w:sz="0" w:space="0" w:color="auto"/>
            <w:left w:val="none" w:sz="0" w:space="0" w:color="auto"/>
            <w:bottom w:val="none" w:sz="0" w:space="0" w:color="auto"/>
            <w:right w:val="none" w:sz="0" w:space="0" w:color="auto"/>
          </w:divBdr>
        </w:div>
        <w:div w:id="734200644">
          <w:marLeft w:val="0"/>
          <w:marRight w:val="0"/>
          <w:marTop w:val="120"/>
          <w:marBottom w:val="120"/>
          <w:divBdr>
            <w:top w:val="none" w:sz="0" w:space="0" w:color="auto"/>
            <w:left w:val="none" w:sz="0" w:space="0" w:color="auto"/>
            <w:bottom w:val="none" w:sz="0" w:space="0" w:color="auto"/>
            <w:right w:val="none" w:sz="0" w:space="0" w:color="auto"/>
          </w:divBdr>
        </w:div>
        <w:div w:id="1447431480">
          <w:marLeft w:val="0"/>
          <w:marRight w:val="0"/>
          <w:marTop w:val="120"/>
          <w:marBottom w:val="120"/>
          <w:divBdr>
            <w:top w:val="none" w:sz="0" w:space="0" w:color="auto"/>
            <w:left w:val="none" w:sz="0" w:space="0" w:color="auto"/>
            <w:bottom w:val="none" w:sz="0" w:space="0" w:color="auto"/>
            <w:right w:val="none" w:sz="0" w:space="0" w:color="auto"/>
          </w:divBdr>
        </w:div>
        <w:div w:id="595555059">
          <w:marLeft w:val="0"/>
          <w:marRight w:val="0"/>
          <w:marTop w:val="120"/>
          <w:marBottom w:val="120"/>
          <w:divBdr>
            <w:top w:val="none" w:sz="0" w:space="0" w:color="auto"/>
            <w:left w:val="none" w:sz="0" w:space="0" w:color="auto"/>
            <w:bottom w:val="none" w:sz="0" w:space="0" w:color="auto"/>
            <w:right w:val="none" w:sz="0" w:space="0" w:color="auto"/>
          </w:divBdr>
        </w:div>
        <w:div w:id="169952514">
          <w:marLeft w:val="0"/>
          <w:marRight w:val="0"/>
          <w:marTop w:val="120"/>
          <w:marBottom w:val="120"/>
          <w:divBdr>
            <w:top w:val="none" w:sz="0" w:space="0" w:color="auto"/>
            <w:left w:val="none" w:sz="0" w:space="0" w:color="auto"/>
            <w:bottom w:val="none" w:sz="0" w:space="0" w:color="auto"/>
            <w:right w:val="none" w:sz="0" w:space="0" w:color="auto"/>
          </w:divBdr>
        </w:div>
        <w:div w:id="165561642">
          <w:marLeft w:val="0"/>
          <w:marRight w:val="0"/>
          <w:marTop w:val="120"/>
          <w:marBottom w:val="120"/>
          <w:divBdr>
            <w:top w:val="none" w:sz="0" w:space="0" w:color="auto"/>
            <w:left w:val="none" w:sz="0" w:space="0" w:color="auto"/>
            <w:bottom w:val="none" w:sz="0" w:space="0" w:color="auto"/>
            <w:right w:val="none" w:sz="0" w:space="0" w:color="auto"/>
          </w:divBdr>
        </w:div>
        <w:div w:id="1710569631">
          <w:marLeft w:val="0"/>
          <w:marRight w:val="0"/>
          <w:marTop w:val="120"/>
          <w:marBottom w:val="120"/>
          <w:divBdr>
            <w:top w:val="none" w:sz="0" w:space="0" w:color="auto"/>
            <w:left w:val="none" w:sz="0" w:space="0" w:color="auto"/>
            <w:bottom w:val="none" w:sz="0" w:space="0" w:color="auto"/>
            <w:right w:val="none" w:sz="0" w:space="0" w:color="auto"/>
          </w:divBdr>
        </w:div>
        <w:div w:id="833490446">
          <w:marLeft w:val="0"/>
          <w:marRight w:val="0"/>
          <w:marTop w:val="120"/>
          <w:marBottom w:val="120"/>
          <w:divBdr>
            <w:top w:val="none" w:sz="0" w:space="0" w:color="auto"/>
            <w:left w:val="none" w:sz="0" w:space="0" w:color="auto"/>
            <w:bottom w:val="none" w:sz="0" w:space="0" w:color="auto"/>
            <w:right w:val="none" w:sz="0" w:space="0" w:color="auto"/>
          </w:divBdr>
        </w:div>
        <w:div w:id="939411827">
          <w:marLeft w:val="0"/>
          <w:marRight w:val="0"/>
          <w:marTop w:val="120"/>
          <w:marBottom w:val="120"/>
          <w:divBdr>
            <w:top w:val="none" w:sz="0" w:space="0" w:color="auto"/>
            <w:left w:val="none" w:sz="0" w:space="0" w:color="auto"/>
            <w:bottom w:val="none" w:sz="0" w:space="0" w:color="auto"/>
            <w:right w:val="none" w:sz="0" w:space="0" w:color="auto"/>
          </w:divBdr>
        </w:div>
        <w:div w:id="1640840789">
          <w:marLeft w:val="0"/>
          <w:marRight w:val="0"/>
          <w:marTop w:val="120"/>
          <w:marBottom w:val="120"/>
          <w:divBdr>
            <w:top w:val="none" w:sz="0" w:space="0" w:color="auto"/>
            <w:left w:val="none" w:sz="0" w:space="0" w:color="auto"/>
            <w:bottom w:val="none" w:sz="0" w:space="0" w:color="auto"/>
            <w:right w:val="none" w:sz="0" w:space="0" w:color="auto"/>
          </w:divBdr>
        </w:div>
        <w:div w:id="1659534191">
          <w:marLeft w:val="0"/>
          <w:marRight w:val="0"/>
          <w:marTop w:val="120"/>
          <w:marBottom w:val="120"/>
          <w:divBdr>
            <w:top w:val="none" w:sz="0" w:space="0" w:color="auto"/>
            <w:left w:val="none" w:sz="0" w:space="0" w:color="auto"/>
            <w:bottom w:val="none" w:sz="0" w:space="0" w:color="auto"/>
            <w:right w:val="none" w:sz="0" w:space="0" w:color="auto"/>
          </w:divBdr>
        </w:div>
        <w:div w:id="1957447747">
          <w:marLeft w:val="0"/>
          <w:marRight w:val="0"/>
          <w:marTop w:val="120"/>
          <w:marBottom w:val="120"/>
          <w:divBdr>
            <w:top w:val="none" w:sz="0" w:space="0" w:color="auto"/>
            <w:left w:val="none" w:sz="0" w:space="0" w:color="auto"/>
            <w:bottom w:val="none" w:sz="0" w:space="0" w:color="auto"/>
            <w:right w:val="none" w:sz="0" w:space="0" w:color="auto"/>
          </w:divBdr>
        </w:div>
        <w:div w:id="1119682631">
          <w:marLeft w:val="0"/>
          <w:marRight w:val="0"/>
          <w:marTop w:val="120"/>
          <w:marBottom w:val="120"/>
          <w:divBdr>
            <w:top w:val="none" w:sz="0" w:space="0" w:color="auto"/>
            <w:left w:val="none" w:sz="0" w:space="0" w:color="auto"/>
            <w:bottom w:val="none" w:sz="0" w:space="0" w:color="auto"/>
            <w:right w:val="none" w:sz="0" w:space="0" w:color="auto"/>
          </w:divBdr>
        </w:div>
        <w:div w:id="923538543">
          <w:marLeft w:val="0"/>
          <w:marRight w:val="0"/>
          <w:marTop w:val="120"/>
          <w:marBottom w:val="120"/>
          <w:divBdr>
            <w:top w:val="none" w:sz="0" w:space="0" w:color="auto"/>
            <w:left w:val="none" w:sz="0" w:space="0" w:color="auto"/>
            <w:bottom w:val="none" w:sz="0" w:space="0" w:color="auto"/>
            <w:right w:val="none" w:sz="0" w:space="0" w:color="auto"/>
          </w:divBdr>
        </w:div>
        <w:div w:id="1976786898">
          <w:marLeft w:val="0"/>
          <w:marRight w:val="0"/>
          <w:marTop w:val="120"/>
          <w:marBottom w:val="120"/>
          <w:divBdr>
            <w:top w:val="none" w:sz="0" w:space="0" w:color="auto"/>
            <w:left w:val="none" w:sz="0" w:space="0" w:color="auto"/>
            <w:bottom w:val="none" w:sz="0" w:space="0" w:color="auto"/>
            <w:right w:val="none" w:sz="0" w:space="0" w:color="auto"/>
          </w:divBdr>
        </w:div>
        <w:div w:id="832374337">
          <w:marLeft w:val="0"/>
          <w:marRight w:val="0"/>
          <w:marTop w:val="120"/>
          <w:marBottom w:val="120"/>
          <w:divBdr>
            <w:top w:val="none" w:sz="0" w:space="0" w:color="auto"/>
            <w:left w:val="none" w:sz="0" w:space="0" w:color="auto"/>
            <w:bottom w:val="none" w:sz="0" w:space="0" w:color="auto"/>
            <w:right w:val="none" w:sz="0" w:space="0" w:color="auto"/>
          </w:divBdr>
        </w:div>
        <w:div w:id="1749422027">
          <w:marLeft w:val="0"/>
          <w:marRight w:val="0"/>
          <w:marTop w:val="120"/>
          <w:marBottom w:val="120"/>
          <w:divBdr>
            <w:top w:val="none" w:sz="0" w:space="0" w:color="auto"/>
            <w:left w:val="none" w:sz="0" w:space="0" w:color="auto"/>
            <w:bottom w:val="none" w:sz="0" w:space="0" w:color="auto"/>
            <w:right w:val="none" w:sz="0" w:space="0" w:color="auto"/>
          </w:divBdr>
        </w:div>
        <w:div w:id="2043362883">
          <w:marLeft w:val="0"/>
          <w:marRight w:val="0"/>
          <w:marTop w:val="120"/>
          <w:marBottom w:val="120"/>
          <w:divBdr>
            <w:top w:val="none" w:sz="0" w:space="0" w:color="auto"/>
            <w:left w:val="none" w:sz="0" w:space="0" w:color="auto"/>
            <w:bottom w:val="none" w:sz="0" w:space="0" w:color="auto"/>
            <w:right w:val="none" w:sz="0" w:space="0" w:color="auto"/>
          </w:divBdr>
        </w:div>
        <w:div w:id="630482803">
          <w:marLeft w:val="0"/>
          <w:marRight w:val="0"/>
          <w:marTop w:val="120"/>
          <w:marBottom w:val="120"/>
          <w:divBdr>
            <w:top w:val="none" w:sz="0" w:space="0" w:color="auto"/>
            <w:left w:val="none" w:sz="0" w:space="0" w:color="auto"/>
            <w:bottom w:val="none" w:sz="0" w:space="0" w:color="auto"/>
            <w:right w:val="none" w:sz="0" w:space="0" w:color="auto"/>
          </w:divBdr>
        </w:div>
        <w:div w:id="1001935860">
          <w:marLeft w:val="0"/>
          <w:marRight w:val="0"/>
          <w:marTop w:val="120"/>
          <w:marBottom w:val="120"/>
          <w:divBdr>
            <w:top w:val="none" w:sz="0" w:space="0" w:color="auto"/>
            <w:left w:val="none" w:sz="0" w:space="0" w:color="auto"/>
            <w:bottom w:val="none" w:sz="0" w:space="0" w:color="auto"/>
            <w:right w:val="none" w:sz="0" w:space="0" w:color="auto"/>
          </w:divBdr>
        </w:div>
        <w:div w:id="1607618461">
          <w:marLeft w:val="0"/>
          <w:marRight w:val="0"/>
          <w:marTop w:val="120"/>
          <w:marBottom w:val="120"/>
          <w:divBdr>
            <w:top w:val="none" w:sz="0" w:space="0" w:color="auto"/>
            <w:left w:val="none" w:sz="0" w:space="0" w:color="auto"/>
            <w:bottom w:val="none" w:sz="0" w:space="0" w:color="auto"/>
            <w:right w:val="none" w:sz="0" w:space="0" w:color="auto"/>
          </w:divBdr>
        </w:div>
        <w:div w:id="1727219885">
          <w:marLeft w:val="0"/>
          <w:marRight w:val="0"/>
          <w:marTop w:val="120"/>
          <w:marBottom w:val="120"/>
          <w:divBdr>
            <w:top w:val="none" w:sz="0" w:space="0" w:color="auto"/>
            <w:left w:val="none" w:sz="0" w:space="0" w:color="auto"/>
            <w:bottom w:val="none" w:sz="0" w:space="0" w:color="auto"/>
            <w:right w:val="none" w:sz="0" w:space="0" w:color="auto"/>
          </w:divBdr>
        </w:div>
        <w:div w:id="1116407191">
          <w:marLeft w:val="0"/>
          <w:marRight w:val="0"/>
          <w:marTop w:val="120"/>
          <w:marBottom w:val="120"/>
          <w:divBdr>
            <w:top w:val="none" w:sz="0" w:space="0" w:color="auto"/>
            <w:left w:val="none" w:sz="0" w:space="0" w:color="auto"/>
            <w:bottom w:val="none" w:sz="0" w:space="0" w:color="auto"/>
            <w:right w:val="none" w:sz="0" w:space="0" w:color="auto"/>
          </w:divBdr>
        </w:div>
        <w:div w:id="1833376411">
          <w:marLeft w:val="0"/>
          <w:marRight w:val="0"/>
          <w:marTop w:val="120"/>
          <w:marBottom w:val="120"/>
          <w:divBdr>
            <w:top w:val="none" w:sz="0" w:space="0" w:color="auto"/>
            <w:left w:val="none" w:sz="0" w:space="0" w:color="auto"/>
            <w:bottom w:val="none" w:sz="0" w:space="0" w:color="auto"/>
            <w:right w:val="none" w:sz="0" w:space="0" w:color="auto"/>
          </w:divBdr>
        </w:div>
        <w:div w:id="1031960245">
          <w:marLeft w:val="0"/>
          <w:marRight w:val="0"/>
          <w:marTop w:val="120"/>
          <w:marBottom w:val="120"/>
          <w:divBdr>
            <w:top w:val="none" w:sz="0" w:space="0" w:color="auto"/>
            <w:left w:val="none" w:sz="0" w:space="0" w:color="auto"/>
            <w:bottom w:val="none" w:sz="0" w:space="0" w:color="auto"/>
            <w:right w:val="none" w:sz="0" w:space="0" w:color="auto"/>
          </w:divBdr>
        </w:div>
        <w:div w:id="788860683">
          <w:marLeft w:val="0"/>
          <w:marRight w:val="0"/>
          <w:marTop w:val="120"/>
          <w:marBottom w:val="120"/>
          <w:divBdr>
            <w:top w:val="none" w:sz="0" w:space="0" w:color="auto"/>
            <w:left w:val="none" w:sz="0" w:space="0" w:color="auto"/>
            <w:bottom w:val="none" w:sz="0" w:space="0" w:color="auto"/>
            <w:right w:val="none" w:sz="0" w:space="0" w:color="auto"/>
          </w:divBdr>
        </w:div>
        <w:div w:id="638387845">
          <w:marLeft w:val="0"/>
          <w:marRight w:val="0"/>
          <w:marTop w:val="120"/>
          <w:marBottom w:val="120"/>
          <w:divBdr>
            <w:top w:val="none" w:sz="0" w:space="0" w:color="auto"/>
            <w:left w:val="none" w:sz="0" w:space="0" w:color="auto"/>
            <w:bottom w:val="none" w:sz="0" w:space="0" w:color="auto"/>
            <w:right w:val="none" w:sz="0" w:space="0" w:color="auto"/>
          </w:divBdr>
        </w:div>
        <w:div w:id="482237597">
          <w:marLeft w:val="0"/>
          <w:marRight w:val="0"/>
          <w:marTop w:val="120"/>
          <w:marBottom w:val="120"/>
          <w:divBdr>
            <w:top w:val="none" w:sz="0" w:space="0" w:color="auto"/>
            <w:left w:val="none" w:sz="0" w:space="0" w:color="auto"/>
            <w:bottom w:val="none" w:sz="0" w:space="0" w:color="auto"/>
            <w:right w:val="none" w:sz="0" w:space="0" w:color="auto"/>
          </w:divBdr>
        </w:div>
        <w:div w:id="131994076">
          <w:marLeft w:val="0"/>
          <w:marRight w:val="0"/>
          <w:marTop w:val="120"/>
          <w:marBottom w:val="120"/>
          <w:divBdr>
            <w:top w:val="none" w:sz="0" w:space="0" w:color="auto"/>
            <w:left w:val="none" w:sz="0" w:space="0" w:color="auto"/>
            <w:bottom w:val="none" w:sz="0" w:space="0" w:color="auto"/>
            <w:right w:val="none" w:sz="0" w:space="0" w:color="auto"/>
          </w:divBdr>
        </w:div>
        <w:div w:id="758326829">
          <w:marLeft w:val="0"/>
          <w:marRight w:val="0"/>
          <w:marTop w:val="120"/>
          <w:marBottom w:val="120"/>
          <w:divBdr>
            <w:top w:val="none" w:sz="0" w:space="0" w:color="auto"/>
            <w:left w:val="none" w:sz="0" w:space="0" w:color="auto"/>
            <w:bottom w:val="none" w:sz="0" w:space="0" w:color="auto"/>
            <w:right w:val="none" w:sz="0" w:space="0" w:color="auto"/>
          </w:divBdr>
        </w:div>
        <w:div w:id="506287605">
          <w:marLeft w:val="0"/>
          <w:marRight w:val="0"/>
          <w:marTop w:val="120"/>
          <w:marBottom w:val="120"/>
          <w:divBdr>
            <w:top w:val="none" w:sz="0" w:space="0" w:color="auto"/>
            <w:left w:val="none" w:sz="0" w:space="0" w:color="auto"/>
            <w:bottom w:val="none" w:sz="0" w:space="0" w:color="auto"/>
            <w:right w:val="none" w:sz="0" w:space="0" w:color="auto"/>
          </w:divBdr>
        </w:div>
        <w:div w:id="887306625">
          <w:marLeft w:val="0"/>
          <w:marRight w:val="0"/>
          <w:marTop w:val="120"/>
          <w:marBottom w:val="120"/>
          <w:divBdr>
            <w:top w:val="none" w:sz="0" w:space="0" w:color="auto"/>
            <w:left w:val="none" w:sz="0" w:space="0" w:color="auto"/>
            <w:bottom w:val="none" w:sz="0" w:space="0" w:color="auto"/>
            <w:right w:val="none" w:sz="0" w:space="0" w:color="auto"/>
          </w:divBdr>
        </w:div>
        <w:div w:id="501556012">
          <w:marLeft w:val="0"/>
          <w:marRight w:val="0"/>
          <w:marTop w:val="120"/>
          <w:marBottom w:val="120"/>
          <w:divBdr>
            <w:top w:val="none" w:sz="0" w:space="0" w:color="auto"/>
            <w:left w:val="none" w:sz="0" w:space="0" w:color="auto"/>
            <w:bottom w:val="none" w:sz="0" w:space="0" w:color="auto"/>
            <w:right w:val="none" w:sz="0" w:space="0" w:color="auto"/>
          </w:divBdr>
        </w:div>
        <w:div w:id="1801457351">
          <w:marLeft w:val="0"/>
          <w:marRight w:val="0"/>
          <w:marTop w:val="120"/>
          <w:marBottom w:val="120"/>
          <w:divBdr>
            <w:top w:val="none" w:sz="0" w:space="0" w:color="auto"/>
            <w:left w:val="none" w:sz="0" w:space="0" w:color="auto"/>
            <w:bottom w:val="none" w:sz="0" w:space="0" w:color="auto"/>
            <w:right w:val="none" w:sz="0" w:space="0" w:color="auto"/>
          </w:divBdr>
        </w:div>
        <w:div w:id="42365756">
          <w:marLeft w:val="0"/>
          <w:marRight w:val="0"/>
          <w:marTop w:val="120"/>
          <w:marBottom w:val="120"/>
          <w:divBdr>
            <w:top w:val="none" w:sz="0" w:space="0" w:color="auto"/>
            <w:left w:val="none" w:sz="0" w:space="0" w:color="auto"/>
            <w:bottom w:val="none" w:sz="0" w:space="0" w:color="auto"/>
            <w:right w:val="none" w:sz="0" w:space="0" w:color="auto"/>
          </w:divBdr>
        </w:div>
        <w:div w:id="36052428">
          <w:marLeft w:val="0"/>
          <w:marRight w:val="0"/>
          <w:marTop w:val="120"/>
          <w:marBottom w:val="120"/>
          <w:divBdr>
            <w:top w:val="none" w:sz="0" w:space="0" w:color="auto"/>
            <w:left w:val="none" w:sz="0" w:space="0" w:color="auto"/>
            <w:bottom w:val="none" w:sz="0" w:space="0" w:color="auto"/>
            <w:right w:val="none" w:sz="0" w:space="0" w:color="auto"/>
          </w:divBdr>
        </w:div>
        <w:div w:id="719281942">
          <w:marLeft w:val="0"/>
          <w:marRight w:val="0"/>
          <w:marTop w:val="120"/>
          <w:marBottom w:val="120"/>
          <w:divBdr>
            <w:top w:val="none" w:sz="0" w:space="0" w:color="auto"/>
            <w:left w:val="none" w:sz="0" w:space="0" w:color="auto"/>
            <w:bottom w:val="none" w:sz="0" w:space="0" w:color="auto"/>
            <w:right w:val="none" w:sz="0" w:space="0" w:color="auto"/>
          </w:divBdr>
        </w:div>
        <w:div w:id="61753311">
          <w:marLeft w:val="0"/>
          <w:marRight w:val="0"/>
          <w:marTop w:val="120"/>
          <w:marBottom w:val="120"/>
          <w:divBdr>
            <w:top w:val="none" w:sz="0" w:space="0" w:color="auto"/>
            <w:left w:val="none" w:sz="0" w:space="0" w:color="auto"/>
            <w:bottom w:val="none" w:sz="0" w:space="0" w:color="auto"/>
            <w:right w:val="none" w:sz="0" w:space="0" w:color="auto"/>
          </w:divBdr>
        </w:div>
        <w:div w:id="1706323819">
          <w:marLeft w:val="0"/>
          <w:marRight w:val="0"/>
          <w:marTop w:val="120"/>
          <w:marBottom w:val="120"/>
          <w:divBdr>
            <w:top w:val="none" w:sz="0" w:space="0" w:color="auto"/>
            <w:left w:val="none" w:sz="0" w:space="0" w:color="auto"/>
            <w:bottom w:val="none" w:sz="0" w:space="0" w:color="auto"/>
            <w:right w:val="none" w:sz="0" w:space="0" w:color="auto"/>
          </w:divBdr>
        </w:div>
        <w:div w:id="2036997117">
          <w:marLeft w:val="0"/>
          <w:marRight w:val="0"/>
          <w:marTop w:val="120"/>
          <w:marBottom w:val="120"/>
          <w:divBdr>
            <w:top w:val="none" w:sz="0" w:space="0" w:color="auto"/>
            <w:left w:val="none" w:sz="0" w:space="0" w:color="auto"/>
            <w:bottom w:val="none" w:sz="0" w:space="0" w:color="auto"/>
            <w:right w:val="none" w:sz="0" w:space="0" w:color="auto"/>
          </w:divBdr>
        </w:div>
        <w:div w:id="1289044033">
          <w:marLeft w:val="0"/>
          <w:marRight w:val="0"/>
          <w:marTop w:val="120"/>
          <w:marBottom w:val="120"/>
          <w:divBdr>
            <w:top w:val="none" w:sz="0" w:space="0" w:color="auto"/>
            <w:left w:val="none" w:sz="0" w:space="0" w:color="auto"/>
            <w:bottom w:val="none" w:sz="0" w:space="0" w:color="auto"/>
            <w:right w:val="none" w:sz="0" w:space="0" w:color="auto"/>
          </w:divBdr>
        </w:div>
        <w:div w:id="711419882">
          <w:marLeft w:val="0"/>
          <w:marRight w:val="0"/>
          <w:marTop w:val="120"/>
          <w:marBottom w:val="120"/>
          <w:divBdr>
            <w:top w:val="none" w:sz="0" w:space="0" w:color="auto"/>
            <w:left w:val="none" w:sz="0" w:space="0" w:color="auto"/>
            <w:bottom w:val="none" w:sz="0" w:space="0" w:color="auto"/>
            <w:right w:val="none" w:sz="0" w:space="0" w:color="auto"/>
          </w:divBdr>
        </w:div>
        <w:div w:id="794375763">
          <w:marLeft w:val="0"/>
          <w:marRight w:val="0"/>
          <w:marTop w:val="120"/>
          <w:marBottom w:val="120"/>
          <w:divBdr>
            <w:top w:val="none" w:sz="0" w:space="0" w:color="auto"/>
            <w:left w:val="none" w:sz="0" w:space="0" w:color="auto"/>
            <w:bottom w:val="none" w:sz="0" w:space="0" w:color="auto"/>
            <w:right w:val="none" w:sz="0" w:space="0" w:color="auto"/>
          </w:divBdr>
        </w:div>
        <w:div w:id="612202465">
          <w:marLeft w:val="0"/>
          <w:marRight w:val="0"/>
          <w:marTop w:val="120"/>
          <w:marBottom w:val="120"/>
          <w:divBdr>
            <w:top w:val="none" w:sz="0" w:space="0" w:color="auto"/>
            <w:left w:val="none" w:sz="0" w:space="0" w:color="auto"/>
            <w:bottom w:val="none" w:sz="0" w:space="0" w:color="auto"/>
            <w:right w:val="none" w:sz="0" w:space="0" w:color="auto"/>
          </w:divBdr>
        </w:div>
        <w:div w:id="736823295">
          <w:marLeft w:val="0"/>
          <w:marRight w:val="0"/>
          <w:marTop w:val="120"/>
          <w:marBottom w:val="120"/>
          <w:divBdr>
            <w:top w:val="none" w:sz="0" w:space="0" w:color="auto"/>
            <w:left w:val="none" w:sz="0" w:space="0" w:color="auto"/>
            <w:bottom w:val="none" w:sz="0" w:space="0" w:color="auto"/>
            <w:right w:val="none" w:sz="0" w:space="0" w:color="auto"/>
          </w:divBdr>
        </w:div>
        <w:div w:id="1069576050">
          <w:marLeft w:val="0"/>
          <w:marRight w:val="0"/>
          <w:marTop w:val="120"/>
          <w:marBottom w:val="120"/>
          <w:divBdr>
            <w:top w:val="none" w:sz="0" w:space="0" w:color="auto"/>
            <w:left w:val="none" w:sz="0" w:space="0" w:color="auto"/>
            <w:bottom w:val="none" w:sz="0" w:space="0" w:color="auto"/>
            <w:right w:val="none" w:sz="0" w:space="0" w:color="auto"/>
          </w:divBdr>
        </w:div>
        <w:div w:id="185288890">
          <w:marLeft w:val="0"/>
          <w:marRight w:val="0"/>
          <w:marTop w:val="120"/>
          <w:marBottom w:val="120"/>
          <w:divBdr>
            <w:top w:val="none" w:sz="0" w:space="0" w:color="auto"/>
            <w:left w:val="none" w:sz="0" w:space="0" w:color="auto"/>
            <w:bottom w:val="none" w:sz="0" w:space="0" w:color="auto"/>
            <w:right w:val="none" w:sz="0" w:space="0" w:color="auto"/>
          </w:divBdr>
        </w:div>
        <w:div w:id="527449483">
          <w:marLeft w:val="0"/>
          <w:marRight w:val="0"/>
          <w:marTop w:val="120"/>
          <w:marBottom w:val="120"/>
          <w:divBdr>
            <w:top w:val="none" w:sz="0" w:space="0" w:color="auto"/>
            <w:left w:val="none" w:sz="0" w:space="0" w:color="auto"/>
            <w:bottom w:val="none" w:sz="0" w:space="0" w:color="auto"/>
            <w:right w:val="none" w:sz="0" w:space="0" w:color="auto"/>
          </w:divBdr>
        </w:div>
        <w:div w:id="346247961">
          <w:marLeft w:val="0"/>
          <w:marRight w:val="0"/>
          <w:marTop w:val="120"/>
          <w:marBottom w:val="120"/>
          <w:divBdr>
            <w:top w:val="none" w:sz="0" w:space="0" w:color="auto"/>
            <w:left w:val="none" w:sz="0" w:space="0" w:color="auto"/>
            <w:bottom w:val="none" w:sz="0" w:space="0" w:color="auto"/>
            <w:right w:val="none" w:sz="0" w:space="0" w:color="auto"/>
          </w:divBdr>
        </w:div>
        <w:div w:id="277567647">
          <w:marLeft w:val="0"/>
          <w:marRight w:val="0"/>
          <w:marTop w:val="120"/>
          <w:marBottom w:val="120"/>
          <w:divBdr>
            <w:top w:val="none" w:sz="0" w:space="0" w:color="auto"/>
            <w:left w:val="none" w:sz="0" w:space="0" w:color="auto"/>
            <w:bottom w:val="none" w:sz="0" w:space="0" w:color="auto"/>
            <w:right w:val="none" w:sz="0" w:space="0" w:color="auto"/>
          </w:divBdr>
        </w:div>
        <w:div w:id="2084064762">
          <w:marLeft w:val="0"/>
          <w:marRight w:val="0"/>
          <w:marTop w:val="120"/>
          <w:marBottom w:val="120"/>
          <w:divBdr>
            <w:top w:val="none" w:sz="0" w:space="0" w:color="auto"/>
            <w:left w:val="none" w:sz="0" w:space="0" w:color="auto"/>
            <w:bottom w:val="none" w:sz="0" w:space="0" w:color="auto"/>
            <w:right w:val="none" w:sz="0" w:space="0" w:color="auto"/>
          </w:divBdr>
        </w:div>
        <w:div w:id="206769136">
          <w:marLeft w:val="0"/>
          <w:marRight w:val="0"/>
          <w:marTop w:val="120"/>
          <w:marBottom w:val="120"/>
          <w:divBdr>
            <w:top w:val="none" w:sz="0" w:space="0" w:color="auto"/>
            <w:left w:val="none" w:sz="0" w:space="0" w:color="auto"/>
            <w:bottom w:val="none" w:sz="0" w:space="0" w:color="auto"/>
            <w:right w:val="none" w:sz="0" w:space="0" w:color="auto"/>
          </w:divBdr>
        </w:div>
        <w:div w:id="2044016167">
          <w:marLeft w:val="0"/>
          <w:marRight w:val="0"/>
          <w:marTop w:val="120"/>
          <w:marBottom w:val="120"/>
          <w:divBdr>
            <w:top w:val="none" w:sz="0" w:space="0" w:color="auto"/>
            <w:left w:val="none" w:sz="0" w:space="0" w:color="auto"/>
            <w:bottom w:val="none" w:sz="0" w:space="0" w:color="auto"/>
            <w:right w:val="none" w:sz="0" w:space="0" w:color="auto"/>
          </w:divBdr>
        </w:div>
        <w:div w:id="536508617">
          <w:marLeft w:val="0"/>
          <w:marRight w:val="0"/>
          <w:marTop w:val="120"/>
          <w:marBottom w:val="120"/>
          <w:divBdr>
            <w:top w:val="none" w:sz="0" w:space="0" w:color="auto"/>
            <w:left w:val="none" w:sz="0" w:space="0" w:color="auto"/>
            <w:bottom w:val="none" w:sz="0" w:space="0" w:color="auto"/>
            <w:right w:val="none" w:sz="0" w:space="0" w:color="auto"/>
          </w:divBdr>
        </w:div>
        <w:div w:id="1497068094">
          <w:marLeft w:val="0"/>
          <w:marRight w:val="0"/>
          <w:marTop w:val="120"/>
          <w:marBottom w:val="120"/>
          <w:divBdr>
            <w:top w:val="none" w:sz="0" w:space="0" w:color="auto"/>
            <w:left w:val="none" w:sz="0" w:space="0" w:color="auto"/>
            <w:bottom w:val="none" w:sz="0" w:space="0" w:color="auto"/>
            <w:right w:val="none" w:sz="0" w:space="0" w:color="auto"/>
          </w:divBdr>
        </w:div>
        <w:div w:id="1779056706">
          <w:marLeft w:val="0"/>
          <w:marRight w:val="0"/>
          <w:marTop w:val="120"/>
          <w:marBottom w:val="120"/>
          <w:divBdr>
            <w:top w:val="none" w:sz="0" w:space="0" w:color="auto"/>
            <w:left w:val="none" w:sz="0" w:space="0" w:color="auto"/>
            <w:bottom w:val="none" w:sz="0" w:space="0" w:color="auto"/>
            <w:right w:val="none" w:sz="0" w:space="0" w:color="auto"/>
          </w:divBdr>
        </w:div>
        <w:div w:id="1230506475">
          <w:marLeft w:val="0"/>
          <w:marRight w:val="0"/>
          <w:marTop w:val="120"/>
          <w:marBottom w:val="120"/>
          <w:divBdr>
            <w:top w:val="none" w:sz="0" w:space="0" w:color="auto"/>
            <w:left w:val="none" w:sz="0" w:space="0" w:color="auto"/>
            <w:bottom w:val="none" w:sz="0" w:space="0" w:color="auto"/>
            <w:right w:val="none" w:sz="0" w:space="0" w:color="auto"/>
          </w:divBdr>
        </w:div>
        <w:div w:id="2076589829">
          <w:marLeft w:val="0"/>
          <w:marRight w:val="0"/>
          <w:marTop w:val="120"/>
          <w:marBottom w:val="120"/>
          <w:divBdr>
            <w:top w:val="none" w:sz="0" w:space="0" w:color="auto"/>
            <w:left w:val="none" w:sz="0" w:space="0" w:color="auto"/>
            <w:bottom w:val="none" w:sz="0" w:space="0" w:color="auto"/>
            <w:right w:val="none" w:sz="0" w:space="0" w:color="auto"/>
          </w:divBdr>
        </w:div>
        <w:div w:id="1228803755">
          <w:marLeft w:val="0"/>
          <w:marRight w:val="0"/>
          <w:marTop w:val="120"/>
          <w:marBottom w:val="120"/>
          <w:divBdr>
            <w:top w:val="none" w:sz="0" w:space="0" w:color="auto"/>
            <w:left w:val="none" w:sz="0" w:space="0" w:color="auto"/>
            <w:bottom w:val="none" w:sz="0" w:space="0" w:color="auto"/>
            <w:right w:val="none" w:sz="0" w:space="0" w:color="auto"/>
          </w:divBdr>
        </w:div>
        <w:div w:id="1291400881">
          <w:marLeft w:val="0"/>
          <w:marRight w:val="0"/>
          <w:marTop w:val="120"/>
          <w:marBottom w:val="120"/>
          <w:divBdr>
            <w:top w:val="none" w:sz="0" w:space="0" w:color="auto"/>
            <w:left w:val="none" w:sz="0" w:space="0" w:color="auto"/>
            <w:bottom w:val="none" w:sz="0" w:space="0" w:color="auto"/>
            <w:right w:val="none" w:sz="0" w:space="0" w:color="auto"/>
          </w:divBdr>
        </w:div>
        <w:div w:id="860095001">
          <w:marLeft w:val="0"/>
          <w:marRight w:val="0"/>
          <w:marTop w:val="120"/>
          <w:marBottom w:val="120"/>
          <w:divBdr>
            <w:top w:val="none" w:sz="0" w:space="0" w:color="auto"/>
            <w:left w:val="none" w:sz="0" w:space="0" w:color="auto"/>
            <w:bottom w:val="none" w:sz="0" w:space="0" w:color="auto"/>
            <w:right w:val="none" w:sz="0" w:space="0" w:color="auto"/>
          </w:divBdr>
        </w:div>
        <w:div w:id="1978366741">
          <w:marLeft w:val="0"/>
          <w:marRight w:val="0"/>
          <w:marTop w:val="120"/>
          <w:marBottom w:val="120"/>
          <w:divBdr>
            <w:top w:val="none" w:sz="0" w:space="0" w:color="auto"/>
            <w:left w:val="none" w:sz="0" w:space="0" w:color="auto"/>
            <w:bottom w:val="none" w:sz="0" w:space="0" w:color="auto"/>
            <w:right w:val="none" w:sz="0" w:space="0" w:color="auto"/>
          </w:divBdr>
        </w:div>
        <w:div w:id="145974851">
          <w:marLeft w:val="0"/>
          <w:marRight w:val="0"/>
          <w:marTop w:val="120"/>
          <w:marBottom w:val="120"/>
          <w:divBdr>
            <w:top w:val="none" w:sz="0" w:space="0" w:color="auto"/>
            <w:left w:val="none" w:sz="0" w:space="0" w:color="auto"/>
            <w:bottom w:val="none" w:sz="0" w:space="0" w:color="auto"/>
            <w:right w:val="none" w:sz="0" w:space="0" w:color="auto"/>
          </w:divBdr>
        </w:div>
        <w:div w:id="1109934001">
          <w:marLeft w:val="0"/>
          <w:marRight w:val="0"/>
          <w:marTop w:val="120"/>
          <w:marBottom w:val="120"/>
          <w:divBdr>
            <w:top w:val="none" w:sz="0" w:space="0" w:color="auto"/>
            <w:left w:val="none" w:sz="0" w:space="0" w:color="auto"/>
            <w:bottom w:val="none" w:sz="0" w:space="0" w:color="auto"/>
            <w:right w:val="none" w:sz="0" w:space="0" w:color="auto"/>
          </w:divBdr>
        </w:div>
        <w:div w:id="67267744">
          <w:marLeft w:val="0"/>
          <w:marRight w:val="0"/>
          <w:marTop w:val="120"/>
          <w:marBottom w:val="120"/>
          <w:divBdr>
            <w:top w:val="none" w:sz="0" w:space="0" w:color="auto"/>
            <w:left w:val="none" w:sz="0" w:space="0" w:color="auto"/>
            <w:bottom w:val="none" w:sz="0" w:space="0" w:color="auto"/>
            <w:right w:val="none" w:sz="0" w:space="0" w:color="auto"/>
          </w:divBdr>
        </w:div>
        <w:div w:id="1437477331">
          <w:marLeft w:val="0"/>
          <w:marRight w:val="0"/>
          <w:marTop w:val="120"/>
          <w:marBottom w:val="120"/>
          <w:divBdr>
            <w:top w:val="none" w:sz="0" w:space="0" w:color="auto"/>
            <w:left w:val="none" w:sz="0" w:space="0" w:color="auto"/>
            <w:bottom w:val="none" w:sz="0" w:space="0" w:color="auto"/>
            <w:right w:val="none" w:sz="0" w:space="0" w:color="auto"/>
          </w:divBdr>
        </w:div>
        <w:div w:id="174541196">
          <w:marLeft w:val="0"/>
          <w:marRight w:val="0"/>
          <w:marTop w:val="120"/>
          <w:marBottom w:val="120"/>
          <w:divBdr>
            <w:top w:val="none" w:sz="0" w:space="0" w:color="auto"/>
            <w:left w:val="none" w:sz="0" w:space="0" w:color="auto"/>
            <w:bottom w:val="none" w:sz="0" w:space="0" w:color="auto"/>
            <w:right w:val="none" w:sz="0" w:space="0" w:color="auto"/>
          </w:divBdr>
        </w:div>
        <w:div w:id="404651824">
          <w:marLeft w:val="0"/>
          <w:marRight w:val="0"/>
          <w:marTop w:val="120"/>
          <w:marBottom w:val="120"/>
          <w:divBdr>
            <w:top w:val="none" w:sz="0" w:space="0" w:color="auto"/>
            <w:left w:val="none" w:sz="0" w:space="0" w:color="auto"/>
            <w:bottom w:val="none" w:sz="0" w:space="0" w:color="auto"/>
            <w:right w:val="none" w:sz="0" w:space="0" w:color="auto"/>
          </w:divBdr>
        </w:div>
        <w:div w:id="1895655060">
          <w:marLeft w:val="0"/>
          <w:marRight w:val="0"/>
          <w:marTop w:val="120"/>
          <w:marBottom w:val="120"/>
          <w:divBdr>
            <w:top w:val="none" w:sz="0" w:space="0" w:color="auto"/>
            <w:left w:val="none" w:sz="0" w:space="0" w:color="auto"/>
            <w:bottom w:val="none" w:sz="0" w:space="0" w:color="auto"/>
            <w:right w:val="none" w:sz="0" w:space="0" w:color="auto"/>
          </w:divBdr>
        </w:div>
        <w:div w:id="1922332357">
          <w:marLeft w:val="0"/>
          <w:marRight w:val="0"/>
          <w:marTop w:val="120"/>
          <w:marBottom w:val="120"/>
          <w:divBdr>
            <w:top w:val="none" w:sz="0" w:space="0" w:color="auto"/>
            <w:left w:val="none" w:sz="0" w:space="0" w:color="auto"/>
            <w:bottom w:val="none" w:sz="0" w:space="0" w:color="auto"/>
            <w:right w:val="none" w:sz="0" w:space="0" w:color="auto"/>
          </w:divBdr>
        </w:div>
        <w:div w:id="238637980">
          <w:marLeft w:val="0"/>
          <w:marRight w:val="0"/>
          <w:marTop w:val="120"/>
          <w:marBottom w:val="120"/>
          <w:divBdr>
            <w:top w:val="none" w:sz="0" w:space="0" w:color="auto"/>
            <w:left w:val="none" w:sz="0" w:space="0" w:color="auto"/>
            <w:bottom w:val="none" w:sz="0" w:space="0" w:color="auto"/>
            <w:right w:val="none" w:sz="0" w:space="0" w:color="auto"/>
          </w:divBdr>
        </w:div>
        <w:div w:id="704020069">
          <w:marLeft w:val="0"/>
          <w:marRight w:val="0"/>
          <w:marTop w:val="120"/>
          <w:marBottom w:val="120"/>
          <w:divBdr>
            <w:top w:val="none" w:sz="0" w:space="0" w:color="auto"/>
            <w:left w:val="none" w:sz="0" w:space="0" w:color="auto"/>
            <w:bottom w:val="none" w:sz="0" w:space="0" w:color="auto"/>
            <w:right w:val="none" w:sz="0" w:space="0" w:color="auto"/>
          </w:divBdr>
        </w:div>
        <w:div w:id="696547913">
          <w:marLeft w:val="0"/>
          <w:marRight w:val="0"/>
          <w:marTop w:val="120"/>
          <w:marBottom w:val="120"/>
          <w:divBdr>
            <w:top w:val="none" w:sz="0" w:space="0" w:color="auto"/>
            <w:left w:val="none" w:sz="0" w:space="0" w:color="auto"/>
            <w:bottom w:val="none" w:sz="0" w:space="0" w:color="auto"/>
            <w:right w:val="none" w:sz="0" w:space="0" w:color="auto"/>
          </w:divBdr>
        </w:div>
        <w:div w:id="2117434817">
          <w:marLeft w:val="0"/>
          <w:marRight w:val="0"/>
          <w:marTop w:val="120"/>
          <w:marBottom w:val="120"/>
          <w:divBdr>
            <w:top w:val="none" w:sz="0" w:space="0" w:color="auto"/>
            <w:left w:val="none" w:sz="0" w:space="0" w:color="auto"/>
            <w:bottom w:val="none" w:sz="0" w:space="0" w:color="auto"/>
            <w:right w:val="none" w:sz="0" w:space="0" w:color="auto"/>
          </w:divBdr>
        </w:div>
        <w:div w:id="115761407">
          <w:marLeft w:val="0"/>
          <w:marRight w:val="0"/>
          <w:marTop w:val="120"/>
          <w:marBottom w:val="120"/>
          <w:divBdr>
            <w:top w:val="none" w:sz="0" w:space="0" w:color="auto"/>
            <w:left w:val="none" w:sz="0" w:space="0" w:color="auto"/>
            <w:bottom w:val="none" w:sz="0" w:space="0" w:color="auto"/>
            <w:right w:val="none" w:sz="0" w:space="0" w:color="auto"/>
          </w:divBdr>
        </w:div>
        <w:div w:id="745565932">
          <w:marLeft w:val="0"/>
          <w:marRight w:val="0"/>
          <w:marTop w:val="120"/>
          <w:marBottom w:val="120"/>
          <w:divBdr>
            <w:top w:val="none" w:sz="0" w:space="0" w:color="auto"/>
            <w:left w:val="none" w:sz="0" w:space="0" w:color="auto"/>
            <w:bottom w:val="none" w:sz="0" w:space="0" w:color="auto"/>
            <w:right w:val="none" w:sz="0" w:space="0" w:color="auto"/>
          </w:divBdr>
        </w:div>
        <w:div w:id="221138411">
          <w:marLeft w:val="0"/>
          <w:marRight w:val="0"/>
          <w:marTop w:val="120"/>
          <w:marBottom w:val="120"/>
          <w:divBdr>
            <w:top w:val="none" w:sz="0" w:space="0" w:color="auto"/>
            <w:left w:val="none" w:sz="0" w:space="0" w:color="auto"/>
            <w:bottom w:val="none" w:sz="0" w:space="0" w:color="auto"/>
            <w:right w:val="none" w:sz="0" w:space="0" w:color="auto"/>
          </w:divBdr>
        </w:div>
        <w:div w:id="1629823638">
          <w:marLeft w:val="0"/>
          <w:marRight w:val="0"/>
          <w:marTop w:val="120"/>
          <w:marBottom w:val="120"/>
          <w:divBdr>
            <w:top w:val="none" w:sz="0" w:space="0" w:color="auto"/>
            <w:left w:val="none" w:sz="0" w:space="0" w:color="auto"/>
            <w:bottom w:val="none" w:sz="0" w:space="0" w:color="auto"/>
            <w:right w:val="none" w:sz="0" w:space="0" w:color="auto"/>
          </w:divBdr>
        </w:div>
        <w:div w:id="1960918429">
          <w:marLeft w:val="0"/>
          <w:marRight w:val="0"/>
          <w:marTop w:val="120"/>
          <w:marBottom w:val="120"/>
          <w:divBdr>
            <w:top w:val="none" w:sz="0" w:space="0" w:color="auto"/>
            <w:left w:val="none" w:sz="0" w:space="0" w:color="auto"/>
            <w:bottom w:val="none" w:sz="0" w:space="0" w:color="auto"/>
            <w:right w:val="none" w:sz="0" w:space="0" w:color="auto"/>
          </w:divBdr>
        </w:div>
        <w:div w:id="1318801197">
          <w:marLeft w:val="0"/>
          <w:marRight w:val="0"/>
          <w:marTop w:val="120"/>
          <w:marBottom w:val="120"/>
          <w:divBdr>
            <w:top w:val="none" w:sz="0" w:space="0" w:color="auto"/>
            <w:left w:val="none" w:sz="0" w:space="0" w:color="auto"/>
            <w:bottom w:val="none" w:sz="0" w:space="0" w:color="auto"/>
            <w:right w:val="none" w:sz="0" w:space="0" w:color="auto"/>
          </w:divBdr>
        </w:div>
        <w:div w:id="130563375">
          <w:marLeft w:val="0"/>
          <w:marRight w:val="0"/>
          <w:marTop w:val="120"/>
          <w:marBottom w:val="120"/>
          <w:divBdr>
            <w:top w:val="none" w:sz="0" w:space="0" w:color="auto"/>
            <w:left w:val="none" w:sz="0" w:space="0" w:color="auto"/>
            <w:bottom w:val="none" w:sz="0" w:space="0" w:color="auto"/>
            <w:right w:val="none" w:sz="0" w:space="0" w:color="auto"/>
          </w:divBdr>
        </w:div>
        <w:div w:id="1403454692">
          <w:marLeft w:val="0"/>
          <w:marRight w:val="0"/>
          <w:marTop w:val="120"/>
          <w:marBottom w:val="120"/>
          <w:divBdr>
            <w:top w:val="none" w:sz="0" w:space="0" w:color="auto"/>
            <w:left w:val="none" w:sz="0" w:space="0" w:color="auto"/>
            <w:bottom w:val="none" w:sz="0" w:space="0" w:color="auto"/>
            <w:right w:val="none" w:sz="0" w:space="0" w:color="auto"/>
          </w:divBdr>
        </w:div>
        <w:div w:id="1888907397">
          <w:marLeft w:val="0"/>
          <w:marRight w:val="0"/>
          <w:marTop w:val="0"/>
          <w:marBottom w:val="0"/>
          <w:divBdr>
            <w:top w:val="none" w:sz="0" w:space="0" w:color="auto"/>
            <w:left w:val="none" w:sz="0" w:space="0" w:color="auto"/>
            <w:bottom w:val="none" w:sz="0" w:space="0" w:color="auto"/>
            <w:right w:val="none" w:sz="0" w:space="0" w:color="auto"/>
          </w:divBdr>
          <w:divsChild>
            <w:div w:id="956327162">
              <w:marLeft w:val="0"/>
              <w:marRight w:val="0"/>
              <w:marTop w:val="120"/>
              <w:marBottom w:val="120"/>
              <w:divBdr>
                <w:top w:val="none" w:sz="0" w:space="0" w:color="auto"/>
                <w:left w:val="none" w:sz="0" w:space="0" w:color="auto"/>
                <w:bottom w:val="none" w:sz="0" w:space="0" w:color="auto"/>
                <w:right w:val="none" w:sz="0" w:space="0" w:color="auto"/>
              </w:divBdr>
            </w:div>
            <w:div w:id="1882984544">
              <w:marLeft w:val="0"/>
              <w:marRight w:val="0"/>
              <w:marTop w:val="120"/>
              <w:marBottom w:val="120"/>
              <w:divBdr>
                <w:top w:val="none" w:sz="0" w:space="0" w:color="auto"/>
                <w:left w:val="none" w:sz="0" w:space="0" w:color="auto"/>
                <w:bottom w:val="none" w:sz="0" w:space="0" w:color="auto"/>
                <w:right w:val="none" w:sz="0" w:space="0" w:color="auto"/>
              </w:divBdr>
            </w:div>
            <w:div w:id="875698152">
              <w:marLeft w:val="0"/>
              <w:marRight w:val="0"/>
              <w:marTop w:val="120"/>
              <w:marBottom w:val="120"/>
              <w:divBdr>
                <w:top w:val="none" w:sz="0" w:space="0" w:color="auto"/>
                <w:left w:val="none" w:sz="0" w:space="0" w:color="auto"/>
                <w:bottom w:val="none" w:sz="0" w:space="0" w:color="auto"/>
                <w:right w:val="none" w:sz="0" w:space="0" w:color="auto"/>
              </w:divBdr>
            </w:div>
            <w:div w:id="1006399887">
              <w:marLeft w:val="0"/>
              <w:marRight w:val="0"/>
              <w:marTop w:val="120"/>
              <w:marBottom w:val="120"/>
              <w:divBdr>
                <w:top w:val="none" w:sz="0" w:space="0" w:color="auto"/>
                <w:left w:val="none" w:sz="0" w:space="0" w:color="auto"/>
                <w:bottom w:val="none" w:sz="0" w:space="0" w:color="auto"/>
                <w:right w:val="none" w:sz="0" w:space="0" w:color="auto"/>
              </w:divBdr>
            </w:div>
            <w:div w:id="464931766">
              <w:marLeft w:val="0"/>
              <w:marRight w:val="0"/>
              <w:marTop w:val="120"/>
              <w:marBottom w:val="120"/>
              <w:divBdr>
                <w:top w:val="none" w:sz="0" w:space="0" w:color="auto"/>
                <w:left w:val="none" w:sz="0" w:space="0" w:color="auto"/>
                <w:bottom w:val="none" w:sz="0" w:space="0" w:color="auto"/>
                <w:right w:val="none" w:sz="0" w:space="0" w:color="auto"/>
              </w:divBdr>
            </w:div>
            <w:div w:id="519591979">
              <w:marLeft w:val="0"/>
              <w:marRight w:val="0"/>
              <w:marTop w:val="120"/>
              <w:marBottom w:val="120"/>
              <w:divBdr>
                <w:top w:val="none" w:sz="0" w:space="0" w:color="auto"/>
                <w:left w:val="none" w:sz="0" w:space="0" w:color="auto"/>
                <w:bottom w:val="none" w:sz="0" w:space="0" w:color="auto"/>
                <w:right w:val="none" w:sz="0" w:space="0" w:color="auto"/>
              </w:divBdr>
            </w:div>
            <w:div w:id="459810530">
              <w:marLeft w:val="0"/>
              <w:marRight w:val="0"/>
              <w:marTop w:val="120"/>
              <w:marBottom w:val="120"/>
              <w:divBdr>
                <w:top w:val="none" w:sz="0" w:space="0" w:color="auto"/>
                <w:left w:val="none" w:sz="0" w:space="0" w:color="auto"/>
                <w:bottom w:val="none" w:sz="0" w:space="0" w:color="auto"/>
                <w:right w:val="none" w:sz="0" w:space="0" w:color="auto"/>
              </w:divBdr>
            </w:div>
            <w:div w:id="832183030">
              <w:marLeft w:val="0"/>
              <w:marRight w:val="0"/>
              <w:marTop w:val="120"/>
              <w:marBottom w:val="120"/>
              <w:divBdr>
                <w:top w:val="none" w:sz="0" w:space="0" w:color="auto"/>
                <w:left w:val="none" w:sz="0" w:space="0" w:color="auto"/>
                <w:bottom w:val="none" w:sz="0" w:space="0" w:color="auto"/>
                <w:right w:val="none" w:sz="0" w:space="0" w:color="auto"/>
              </w:divBdr>
            </w:div>
          </w:divsChild>
        </w:div>
        <w:div w:id="1417827198">
          <w:marLeft w:val="0"/>
          <w:marRight w:val="0"/>
          <w:marTop w:val="120"/>
          <w:marBottom w:val="120"/>
          <w:divBdr>
            <w:top w:val="none" w:sz="0" w:space="0" w:color="auto"/>
            <w:left w:val="none" w:sz="0" w:space="0" w:color="auto"/>
            <w:bottom w:val="none" w:sz="0" w:space="0" w:color="auto"/>
            <w:right w:val="none" w:sz="0" w:space="0" w:color="auto"/>
          </w:divBdr>
        </w:div>
        <w:div w:id="487479921">
          <w:marLeft w:val="0"/>
          <w:marRight w:val="0"/>
          <w:marTop w:val="120"/>
          <w:marBottom w:val="120"/>
          <w:divBdr>
            <w:top w:val="none" w:sz="0" w:space="0" w:color="auto"/>
            <w:left w:val="none" w:sz="0" w:space="0" w:color="auto"/>
            <w:bottom w:val="none" w:sz="0" w:space="0" w:color="auto"/>
            <w:right w:val="none" w:sz="0" w:space="0" w:color="auto"/>
          </w:divBdr>
        </w:div>
        <w:div w:id="70198344">
          <w:marLeft w:val="0"/>
          <w:marRight w:val="0"/>
          <w:marTop w:val="0"/>
          <w:marBottom w:val="0"/>
          <w:divBdr>
            <w:top w:val="none" w:sz="0" w:space="0" w:color="auto"/>
            <w:left w:val="none" w:sz="0" w:space="0" w:color="auto"/>
            <w:bottom w:val="none" w:sz="0" w:space="0" w:color="auto"/>
            <w:right w:val="none" w:sz="0" w:space="0" w:color="auto"/>
          </w:divBdr>
          <w:divsChild>
            <w:div w:id="1374621958">
              <w:marLeft w:val="0"/>
              <w:marRight w:val="0"/>
              <w:marTop w:val="120"/>
              <w:marBottom w:val="120"/>
              <w:divBdr>
                <w:top w:val="none" w:sz="0" w:space="0" w:color="auto"/>
                <w:left w:val="none" w:sz="0" w:space="0" w:color="auto"/>
                <w:bottom w:val="none" w:sz="0" w:space="0" w:color="auto"/>
                <w:right w:val="none" w:sz="0" w:space="0" w:color="auto"/>
              </w:divBdr>
            </w:div>
            <w:div w:id="372727836">
              <w:marLeft w:val="0"/>
              <w:marRight w:val="0"/>
              <w:marTop w:val="120"/>
              <w:marBottom w:val="120"/>
              <w:divBdr>
                <w:top w:val="none" w:sz="0" w:space="0" w:color="auto"/>
                <w:left w:val="none" w:sz="0" w:space="0" w:color="auto"/>
                <w:bottom w:val="none" w:sz="0" w:space="0" w:color="auto"/>
                <w:right w:val="none" w:sz="0" w:space="0" w:color="auto"/>
              </w:divBdr>
            </w:div>
            <w:div w:id="918710060">
              <w:marLeft w:val="0"/>
              <w:marRight w:val="0"/>
              <w:marTop w:val="120"/>
              <w:marBottom w:val="120"/>
              <w:divBdr>
                <w:top w:val="none" w:sz="0" w:space="0" w:color="auto"/>
                <w:left w:val="none" w:sz="0" w:space="0" w:color="auto"/>
                <w:bottom w:val="none" w:sz="0" w:space="0" w:color="auto"/>
                <w:right w:val="none" w:sz="0" w:space="0" w:color="auto"/>
              </w:divBdr>
            </w:div>
            <w:div w:id="883255308">
              <w:marLeft w:val="0"/>
              <w:marRight w:val="0"/>
              <w:marTop w:val="120"/>
              <w:marBottom w:val="120"/>
              <w:divBdr>
                <w:top w:val="none" w:sz="0" w:space="0" w:color="auto"/>
                <w:left w:val="none" w:sz="0" w:space="0" w:color="auto"/>
                <w:bottom w:val="none" w:sz="0" w:space="0" w:color="auto"/>
                <w:right w:val="none" w:sz="0" w:space="0" w:color="auto"/>
              </w:divBdr>
            </w:div>
            <w:div w:id="1155754210">
              <w:marLeft w:val="0"/>
              <w:marRight w:val="0"/>
              <w:marTop w:val="120"/>
              <w:marBottom w:val="120"/>
              <w:divBdr>
                <w:top w:val="none" w:sz="0" w:space="0" w:color="auto"/>
                <w:left w:val="none" w:sz="0" w:space="0" w:color="auto"/>
                <w:bottom w:val="none" w:sz="0" w:space="0" w:color="auto"/>
                <w:right w:val="none" w:sz="0" w:space="0" w:color="auto"/>
              </w:divBdr>
            </w:div>
            <w:div w:id="1095789375">
              <w:marLeft w:val="0"/>
              <w:marRight w:val="0"/>
              <w:marTop w:val="120"/>
              <w:marBottom w:val="120"/>
              <w:divBdr>
                <w:top w:val="none" w:sz="0" w:space="0" w:color="auto"/>
                <w:left w:val="none" w:sz="0" w:space="0" w:color="auto"/>
                <w:bottom w:val="none" w:sz="0" w:space="0" w:color="auto"/>
                <w:right w:val="none" w:sz="0" w:space="0" w:color="auto"/>
              </w:divBdr>
            </w:div>
            <w:div w:id="1817604652">
              <w:marLeft w:val="0"/>
              <w:marRight w:val="0"/>
              <w:marTop w:val="120"/>
              <w:marBottom w:val="120"/>
              <w:divBdr>
                <w:top w:val="none" w:sz="0" w:space="0" w:color="auto"/>
                <w:left w:val="none" w:sz="0" w:space="0" w:color="auto"/>
                <w:bottom w:val="none" w:sz="0" w:space="0" w:color="auto"/>
                <w:right w:val="none" w:sz="0" w:space="0" w:color="auto"/>
              </w:divBdr>
            </w:div>
            <w:div w:id="852302616">
              <w:marLeft w:val="0"/>
              <w:marRight w:val="0"/>
              <w:marTop w:val="120"/>
              <w:marBottom w:val="120"/>
              <w:divBdr>
                <w:top w:val="none" w:sz="0" w:space="0" w:color="auto"/>
                <w:left w:val="none" w:sz="0" w:space="0" w:color="auto"/>
                <w:bottom w:val="none" w:sz="0" w:space="0" w:color="auto"/>
                <w:right w:val="none" w:sz="0" w:space="0" w:color="auto"/>
              </w:divBdr>
            </w:div>
          </w:divsChild>
        </w:div>
        <w:div w:id="1692800052">
          <w:marLeft w:val="0"/>
          <w:marRight w:val="0"/>
          <w:marTop w:val="120"/>
          <w:marBottom w:val="120"/>
          <w:divBdr>
            <w:top w:val="none" w:sz="0" w:space="0" w:color="auto"/>
            <w:left w:val="none" w:sz="0" w:space="0" w:color="auto"/>
            <w:bottom w:val="none" w:sz="0" w:space="0" w:color="auto"/>
            <w:right w:val="none" w:sz="0" w:space="0" w:color="auto"/>
          </w:divBdr>
        </w:div>
        <w:div w:id="630290253">
          <w:marLeft w:val="0"/>
          <w:marRight w:val="0"/>
          <w:marTop w:val="120"/>
          <w:marBottom w:val="120"/>
          <w:divBdr>
            <w:top w:val="none" w:sz="0" w:space="0" w:color="auto"/>
            <w:left w:val="none" w:sz="0" w:space="0" w:color="auto"/>
            <w:bottom w:val="none" w:sz="0" w:space="0" w:color="auto"/>
            <w:right w:val="none" w:sz="0" w:space="0" w:color="auto"/>
          </w:divBdr>
        </w:div>
        <w:div w:id="342362011">
          <w:marLeft w:val="0"/>
          <w:marRight w:val="0"/>
          <w:marTop w:val="0"/>
          <w:marBottom w:val="0"/>
          <w:divBdr>
            <w:top w:val="none" w:sz="0" w:space="0" w:color="auto"/>
            <w:left w:val="none" w:sz="0" w:space="0" w:color="auto"/>
            <w:bottom w:val="none" w:sz="0" w:space="0" w:color="auto"/>
            <w:right w:val="none" w:sz="0" w:space="0" w:color="auto"/>
          </w:divBdr>
          <w:divsChild>
            <w:div w:id="1718582812">
              <w:marLeft w:val="0"/>
              <w:marRight w:val="0"/>
              <w:marTop w:val="120"/>
              <w:marBottom w:val="120"/>
              <w:divBdr>
                <w:top w:val="none" w:sz="0" w:space="0" w:color="auto"/>
                <w:left w:val="none" w:sz="0" w:space="0" w:color="auto"/>
                <w:bottom w:val="none" w:sz="0" w:space="0" w:color="auto"/>
                <w:right w:val="none" w:sz="0" w:space="0" w:color="auto"/>
              </w:divBdr>
            </w:div>
            <w:div w:id="545793911">
              <w:marLeft w:val="0"/>
              <w:marRight w:val="0"/>
              <w:marTop w:val="120"/>
              <w:marBottom w:val="120"/>
              <w:divBdr>
                <w:top w:val="none" w:sz="0" w:space="0" w:color="auto"/>
                <w:left w:val="none" w:sz="0" w:space="0" w:color="auto"/>
                <w:bottom w:val="none" w:sz="0" w:space="0" w:color="auto"/>
                <w:right w:val="none" w:sz="0" w:space="0" w:color="auto"/>
              </w:divBdr>
            </w:div>
            <w:div w:id="314267345">
              <w:marLeft w:val="0"/>
              <w:marRight w:val="0"/>
              <w:marTop w:val="120"/>
              <w:marBottom w:val="120"/>
              <w:divBdr>
                <w:top w:val="none" w:sz="0" w:space="0" w:color="auto"/>
                <w:left w:val="none" w:sz="0" w:space="0" w:color="auto"/>
                <w:bottom w:val="none" w:sz="0" w:space="0" w:color="auto"/>
                <w:right w:val="none" w:sz="0" w:space="0" w:color="auto"/>
              </w:divBdr>
            </w:div>
            <w:div w:id="1023170320">
              <w:marLeft w:val="0"/>
              <w:marRight w:val="0"/>
              <w:marTop w:val="120"/>
              <w:marBottom w:val="120"/>
              <w:divBdr>
                <w:top w:val="none" w:sz="0" w:space="0" w:color="auto"/>
                <w:left w:val="none" w:sz="0" w:space="0" w:color="auto"/>
                <w:bottom w:val="none" w:sz="0" w:space="0" w:color="auto"/>
                <w:right w:val="none" w:sz="0" w:space="0" w:color="auto"/>
              </w:divBdr>
            </w:div>
            <w:div w:id="563298331">
              <w:marLeft w:val="0"/>
              <w:marRight w:val="0"/>
              <w:marTop w:val="120"/>
              <w:marBottom w:val="120"/>
              <w:divBdr>
                <w:top w:val="none" w:sz="0" w:space="0" w:color="auto"/>
                <w:left w:val="none" w:sz="0" w:space="0" w:color="auto"/>
                <w:bottom w:val="none" w:sz="0" w:space="0" w:color="auto"/>
                <w:right w:val="none" w:sz="0" w:space="0" w:color="auto"/>
              </w:divBdr>
            </w:div>
            <w:div w:id="1637878745">
              <w:marLeft w:val="0"/>
              <w:marRight w:val="0"/>
              <w:marTop w:val="120"/>
              <w:marBottom w:val="120"/>
              <w:divBdr>
                <w:top w:val="none" w:sz="0" w:space="0" w:color="auto"/>
                <w:left w:val="none" w:sz="0" w:space="0" w:color="auto"/>
                <w:bottom w:val="none" w:sz="0" w:space="0" w:color="auto"/>
                <w:right w:val="none" w:sz="0" w:space="0" w:color="auto"/>
              </w:divBdr>
            </w:div>
          </w:divsChild>
        </w:div>
        <w:div w:id="1303000799">
          <w:marLeft w:val="0"/>
          <w:marRight w:val="0"/>
          <w:marTop w:val="120"/>
          <w:marBottom w:val="120"/>
          <w:divBdr>
            <w:top w:val="none" w:sz="0" w:space="0" w:color="auto"/>
            <w:left w:val="none" w:sz="0" w:space="0" w:color="auto"/>
            <w:bottom w:val="none" w:sz="0" w:space="0" w:color="auto"/>
            <w:right w:val="none" w:sz="0" w:space="0" w:color="auto"/>
          </w:divBdr>
        </w:div>
        <w:div w:id="446703802">
          <w:marLeft w:val="0"/>
          <w:marRight w:val="0"/>
          <w:marTop w:val="120"/>
          <w:marBottom w:val="120"/>
          <w:divBdr>
            <w:top w:val="none" w:sz="0" w:space="0" w:color="auto"/>
            <w:left w:val="none" w:sz="0" w:space="0" w:color="auto"/>
            <w:bottom w:val="none" w:sz="0" w:space="0" w:color="auto"/>
            <w:right w:val="none" w:sz="0" w:space="0" w:color="auto"/>
          </w:divBdr>
        </w:div>
        <w:div w:id="193931782">
          <w:marLeft w:val="0"/>
          <w:marRight w:val="0"/>
          <w:marTop w:val="120"/>
          <w:marBottom w:val="120"/>
          <w:divBdr>
            <w:top w:val="none" w:sz="0" w:space="0" w:color="auto"/>
            <w:left w:val="none" w:sz="0" w:space="0" w:color="auto"/>
            <w:bottom w:val="none" w:sz="0" w:space="0" w:color="auto"/>
            <w:right w:val="none" w:sz="0" w:space="0" w:color="auto"/>
          </w:divBdr>
        </w:div>
        <w:div w:id="1050543155">
          <w:marLeft w:val="0"/>
          <w:marRight w:val="0"/>
          <w:marTop w:val="120"/>
          <w:marBottom w:val="120"/>
          <w:divBdr>
            <w:top w:val="none" w:sz="0" w:space="0" w:color="auto"/>
            <w:left w:val="none" w:sz="0" w:space="0" w:color="auto"/>
            <w:bottom w:val="none" w:sz="0" w:space="0" w:color="auto"/>
            <w:right w:val="none" w:sz="0" w:space="0" w:color="auto"/>
          </w:divBdr>
        </w:div>
        <w:div w:id="363411025">
          <w:marLeft w:val="0"/>
          <w:marRight w:val="0"/>
          <w:marTop w:val="120"/>
          <w:marBottom w:val="120"/>
          <w:divBdr>
            <w:top w:val="none" w:sz="0" w:space="0" w:color="auto"/>
            <w:left w:val="none" w:sz="0" w:space="0" w:color="auto"/>
            <w:bottom w:val="none" w:sz="0" w:space="0" w:color="auto"/>
            <w:right w:val="none" w:sz="0" w:space="0" w:color="auto"/>
          </w:divBdr>
        </w:div>
        <w:div w:id="1317956811">
          <w:marLeft w:val="0"/>
          <w:marRight w:val="0"/>
          <w:marTop w:val="120"/>
          <w:marBottom w:val="120"/>
          <w:divBdr>
            <w:top w:val="none" w:sz="0" w:space="0" w:color="auto"/>
            <w:left w:val="none" w:sz="0" w:space="0" w:color="auto"/>
            <w:bottom w:val="none" w:sz="0" w:space="0" w:color="auto"/>
            <w:right w:val="none" w:sz="0" w:space="0" w:color="auto"/>
          </w:divBdr>
        </w:div>
        <w:div w:id="1660302835">
          <w:marLeft w:val="0"/>
          <w:marRight w:val="0"/>
          <w:marTop w:val="120"/>
          <w:marBottom w:val="120"/>
          <w:divBdr>
            <w:top w:val="none" w:sz="0" w:space="0" w:color="auto"/>
            <w:left w:val="none" w:sz="0" w:space="0" w:color="auto"/>
            <w:bottom w:val="none" w:sz="0" w:space="0" w:color="auto"/>
            <w:right w:val="none" w:sz="0" w:space="0" w:color="auto"/>
          </w:divBdr>
        </w:div>
        <w:div w:id="1208103343">
          <w:marLeft w:val="0"/>
          <w:marRight w:val="0"/>
          <w:marTop w:val="120"/>
          <w:marBottom w:val="120"/>
          <w:divBdr>
            <w:top w:val="none" w:sz="0" w:space="0" w:color="auto"/>
            <w:left w:val="none" w:sz="0" w:space="0" w:color="auto"/>
            <w:bottom w:val="none" w:sz="0" w:space="0" w:color="auto"/>
            <w:right w:val="none" w:sz="0" w:space="0" w:color="auto"/>
          </w:divBdr>
        </w:div>
        <w:div w:id="264503673">
          <w:marLeft w:val="0"/>
          <w:marRight w:val="0"/>
          <w:marTop w:val="120"/>
          <w:marBottom w:val="120"/>
          <w:divBdr>
            <w:top w:val="none" w:sz="0" w:space="0" w:color="auto"/>
            <w:left w:val="none" w:sz="0" w:space="0" w:color="auto"/>
            <w:bottom w:val="none" w:sz="0" w:space="0" w:color="auto"/>
            <w:right w:val="none" w:sz="0" w:space="0" w:color="auto"/>
          </w:divBdr>
        </w:div>
        <w:div w:id="4405585">
          <w:marLeft w:val="0"/>
          <w:marRight w:val="0"/>
          <w:marTop w:val="120"/>
          <w:marBottom w:val="120"/>
          <w:divBdr>
            <w:top w:val="none" w:sz="0" w:space="0" w:color="auto"/>
            <w:left w:val="none" w:sz="0" w:space="0" w:color="auto"/>
            <w:bottom w:val="none" w:sz="0" w:space="0" w:color="auto"/>
            <w:right w:val="none" w:sz="0" w:space="0" w:color="auto"/>
          </w:divBdr>
        </w:div>
        <w:div w:id="1857815327">
          <w:marLeft w:val="0"/>
          <w:marRight w:val="0"/>
          <w:marTop w:val="120"/>
          <w:marBottom w:val="120"/>
          <w:divBdr>
            <w:top w:val="none" w:sz="0" w:space="0" w:color="auto"/>
            <w:left w:val="none" w:sz="0" w:space="0" w:color="auto"/>
            <w:bottom w:val="none" w:sz="0" w:space="0" w:color="auto"/>
            <w:right w:val="none" w:sz="0" w:space="0" w:color="auto"/>
          </w:divBdr>
        </w:div>
        <w:div w:id="1426803893">
          <w:marLeft w:val="0"/>
          <w:marRight w:val="0"/>
          <w:marTop w:val="120"/>
          <w:marBottom w:val="120"/>
          <w:divBdr>
            <w:top w:val="none" w:sz="0" w:space="0" w:color="auto"/>
            <w:left w:val="none" w:sz="0" w:space="0" w:color="auto"/>
            <w:bottom w:val="none" w:sz="0" w:space="0" w:color="auto"/>
            <w:right w:val="none" w:sz="0" w:space="0" w:color="auto"/>
          </w:divBdr>
        </w:div>
        <w:div w:id="1776048527">
          <w:marLeft w:val="0"/>
          <w:marRight w:val="0"/>
          <w:marTop w:val="120"/>
          <w:marBottom w:val="120"/>
          <w:divBdr>
            <w:top w:val="none" w:sz="0" w:space="0" w:color="auto"/>
            <w:left w:val="none" w:sz="0" w:space="0" w:color="auto"/>
            <w:bottom w:val="none" w:sz="0" w:space="0" w:color="auto"/>
            <w:right w:val="none" w:sz="0" w:space="0" w:color="auto"/>
          </w:divBdr>
        </w:div>
        <w:div w:id="1623145537">
          <w:marLeft w:val="0"/>
          <w:marRight w:val="0"/>
          <w:marTop w:val="120"/>
          <w:marBottom w:val="120"/>
          <w:divBdr>
            <w:top w:val="none" w:sz="0" w:space="0" w:color="auto"/>
            <w:left w:val="none" w:sz="0" w:space="0" w:color="auto"/>
            <w:bottom w:val="none" w:sz="0" w:space="0" w:color="auto"/>
            <w:right w:val="none" w:sz="0" w:space="0" w:color="auto"/>
          </w:divBdr>
        </w:div>
        <w:div w:id="513232827">
          <w:marLeft w:val="0"/>
          <w:marRight w:val="0"/>
          <w:marTop w:val="120"/>
          <w:marBottom w:val="120"/>
          <w:divBdr>
            <w:top w:val="none" w:sz="0" w:space="0" w:color="auto"/>
            <w:left w:val="none" w:sz="0" w:space="0" w:color="auto"/>
            <w:bottom w:val="none" w:sz="0" w:space="0" w:color="auto"/>
            <w:right w:val="none" w:sz="0" w:space="0" w:color="auto"/>
          </w:divBdr>
        </w:div>
        <w:div w:id="1633516543">
          <w:marLeft w:val="0"/>
          <w:marRight w:val="0"/>
          <w:marTop w:val="120"/>
          <w:marBottom w:val="120"/>
          <w:divBdr>
            <w:top w:val="none" w:sz="0" w:space="0" w:color="auto"/>
            <w:left w:val="none" w:sz="0" w:space="0" w:color="auto"/>
            <w:bottom w:val="none" w:sz="0" w:space="0" w:color="auto"/>
            <w:right w:val="none" w:sz="0" w:space="0" w:color="auto"/>
          </w:divBdr>
        </w:div>
        <w:div w:id="241376099">
          <w:marLeft w:val="0"/>
          <w:marRight w:val="0"/>
          <w:marTop w:val="120"/>
          <w:marBottom w:val="120"/>
          <w:divBdr>
            <w:top w:val="none" w:sz="0" w:space="0" w:color="auto"/>
            <w:left w:val="none" w:sz="0" w:space="0" w:color="auto"/>
            <w:bottom w:val="none" w:sz="0" w:space="0" w:color="auto"/>
            <w:right w:val="none" w:sz="0" w:space="0" w:color="auto"/>
          </w:divBdr>
        </w:div>
        <w:div w:id="1077674149">
          <w:marLeft w:val="0"/>
          <w:marRight w:val="0"/>
          <w:marTop w:val="120"/>
          <w:marBottom w:val="120"/>
          <w:divBdr>
            <w:top w:val="none" w:sz="0" w:space="0" w:color="auto"/>
            <w:left w:val="none" w:sz="0" w:space="0" w:color="auto"/>
            <w:bottom w:val="none" w:sz="0" w:space="0" w:color="auto"/>
            <w:right w:val="none" w:sz="0" w:space="0" w:color="auto"/>
          </w:divBdr>
        </w:div>
        <w:div w:id="970088725">
          <w:marLeft w:val="0"/>
          <w:marRight w:val="0"/>
          <w:marTop w:val="120"/>
          <w:marBottom w:val="120"/>
          <w:divBdr>
            <w:top w:val="none" w:sz="0" w:space="0" w:color="auto"/>
            <w:left w:val="none" w:sz="0" w:space="0" w:color="auto"/>
            <w:bottom w:val="none" w:sz="0" w:space="0" w:color="auto"/>
            <w:right w:val="none" w:sz="0" w:space="0" w:color="auto"/>
          </w:divBdr>
        </w:div>
        <w:div w:id="217281826">
          <w:marLeft w:val="0"/>
          <w:marRight w:val="0"/>
          <w:marTop w:val="120"/>
          <w:marBottom w:val="120"/>
          <w:divBdr>
            <w:top w:val="none" w:sz="0" w:space="0" w:color="auto"/>
            <w:left w:val="none" w:sz="0" w:space="0" w:color="auto"/>
            <w:bottom w:val="none" w:sz="0" w:space="0" w:color="auto"/>
            <w:right w:val="none" w:sz="0" w:space="0" w:color="auto"/>
          </w:divBdr>
        </w:div>
        <w:div w:id="1076131416">
          <w:marLeft w:val="0"/>
          <w:marRight w:val="0"/>
          <w:marTop w:val="120"/>
          <w:marBottom w:val="120"/>
          <w:divBdr>
            <w:top w:val="none" w:sz="0" w:space="0" w:color="auto"/>
            <w:left w:val="none" w:sz="0" w:space="0" w:color="auto"/>
            <w:bottom w:val="none" w:sz="0" w:space="0" w:color="auto"/>
            <w:right w:val="none" w:sz="0" w:space="0" w:color="auto"/>
          </w:divBdr>
        </w:div>
        <w:div w:id="1208178656">
          <w:marLeft w:val="0"/>
          <w:marRight w:val="0"/>
          <w:marTop w:val="120"/>
          <w:marBottom w:val="120"/>
          <w:divBdr>
            <w:top w:val="none" w:sz="0" w:space="0" w:color="auto"/>
            <w:left w:val="none" w:sz="0" w:space="0" w:color="auto"/>
            <w:bottom w:val="none" w:sz="0" w:space="0" w:color="auto"/>
            <w:right w:val="none" w:sz="0" w:space="0" w:color="auto"/>
          </w:divBdr>
        </w:div>
        <w:div w:id="1470702540">
          <w:marLeft w:val="0"/>
          <w:marRight w:val="0"/>
          <w:marTop w:val="120"/>
          <w:marBottom w:val="120"/>
          <w:divBdr>
            <w:top w:val="none" w:sz="0" w:space="0" w:color="auto"/>
            <w:left w:val="none" w:sz="0" w:space="0" w:color="auto"/>
            <w:bottom w:val="none" w:sz="0" w:space="0" w:color="auto"/>
            <w:right w:val="none" w:sz="0" w:space="0" w:color="auto"/>
          </w:divBdr>
        </w:div>
        <w:div w:id="1240023922">
          <w:marLeft w:val="0"/>
          <w:marRight w:val="0"/>
          <w:marTop w:val="120"/>
          <w:marBottom w:val="120"/>
          <w:divBdr>
            <w:top w:val="none" w:sz="0" w:space="0" w:color="auto"/>
            <w:left w:val="none" w:sz="0" w:space="0" w:color="auto"/>
            <w:bottom w:val="none" w:sz="0" w:space="0" w:color="auto"/>
            <w:right w:val="none" w:sz="0" w:space="0" w:color="auto"/>
          </w:divBdr>
        </w:div>
        <w:div w:id="2030175044">
          <w:marLeft w:val="0"/>
          <w:marRight w:val="0"/>
          <w:marTop w:val="120"/>
          <w:marBottom w:val="120"/>
          <w:divBdr>
            <w:top w:val="none" w:sz="0" w:space="0" w:color="auto"/>
            <w:left w:val="none" w:sz="0" w:space="0" w:color="auto"/>
            <w:bottom w:val="none" w:sz="0" w:space="0" w:color="auto"/>
            <w:right w:val="none" w:sz="0" w:space="0" w:color="auto"/>
          </w:divBdr>
        </w:div>
        <w:div w:id="1280260486">
          <w:marLeft w:val="0"/>
          <w:marRight w:val="0"/>
          <w:marTop w:val="120"/>
          <w:marBottom w:val="120"/>
          <w:divBdr>
            <w:top w:val="none" w:sz="0" w:space="0" w:color="auto"/>
            <w:left w:val="none" w:sz="0" w:space="0" w:color="auto"/>
            <w:bottom w:val="none" w:sz="0" w:space="0" w:color="auto"/>
            <w:right w:val="none" w:sz="0" w:space="0" w:color="auto"/>
          </w:divBdr>
        </w:div>
        <w:div w:id="1344088579">
          <w:marLeft w:val="0"/>
          <w:marRight w:val="0"/>
          <w:marTop w:val="120"/>
          <w:marBottom w:val="120"/>
          <w:divBdr>
            <w:top w:val="none" w:sz="0" w:space="0" w:color="auto"/>
            <w:left w:val="none" w:sz="0" w:space="0" w:color="auto"/>
            <w:bottom w:val="none" w:sz="0" w:space="0" w:color="auto"/>
            <w:right w:val="none" w:sz="0" w:space="0" w:color="auto"/>
          </w:divBdr>
        </w:div>
        <w:div w:id="1545483338">
          <w:marLeft w:val="0"/>
          <w:marRight w:val="0"/>
          <w:marTop w:val="120"/>
          <w:marBottom w:val="120"/>
          <w:divBdr>
            <w:top w:val="none" w:sz="0" w:space="0" w:color="auto"/>
            <w:left w:val="none" w:sz="0" w:space="0" w:color="auto"/>
            <w:bottom w:val="none" w:sz="0" w:space="0" w:color="auto"/>
            <w:right w:val="none" w:sz="0" w:space="0" w:color="auto"/>
          </w:divBdr>
        </w:div>
        <w:div w:id="368842674">
          <w:marLeft w:val="0"/>
          <w:marRight w:val="0"/>
          <w:marTop w:val="120"/>
          <w:marBottom w:val="120"/>
          <w:divBdr>
            <w:top w:val="none" w:sz="0" w:space="0" w:color="auto"/>
            <w:left w:val="none" w:sz="0" w:space="0" w:color="auto"/>
            <w:bottom w:val="none" w:sz="0" w:space="0" w:color="auto"/>
            <w:right w:val="none" w:sz="0" w:space="0" w:color="auto"/>
          </w:divBdr>
        </w:div>
        <w:div w:id="77753099">
          <w:marLeft w:val="0"/>
          <w:marRight w:val="0"/>
          <w:marTop w:val="120"/>
          <w:marBottom w:val="120"/>
          <w:divBdr>
            <w:top w:val="none" w:sz="0" w:space="0" w:color="auto"/>
            <w:left w:val="none" w:sz="0" w:space="0" w:color="auto"/>
            <w:bottom w:val="none" w:sz="0" w:space="0" w:color="auto"/>
            <w:right w:val="none" w:sz="0" w:space="0" w:color="auto"/>
          </w:divBdr>
        </w:div>
      </w:divsChild>
    </w:div>
    <w:div w:id="1162820520">
      <w:bodyDiv w:val="1"/>
      <w:marLeft w:val="0"/>
      <w:marRight w:val="0"/>
      <w:marTop w:val="0"/>
      <w:marBottom w:val="0"/>
      <w:divBdr>
        <w:top w:val="none" w:sz="0" w:space="0" w:color="auto"/>
        <w:left w:val="none" w:sz="0" w:space="0" w:color="auto"/>
        <w:bottom w:val="none" w:sz="0" w:space="0" w:color="auto"/>
        <w:right w:val="none" w:sz="0" w:space="0" w:color="auto"/>
      </w:divBdr>
      <w:divsChild>
        <w:div w:id="1512258544">
          <w:marLeft w:val="0"/>
          <w:marRight w:val="0"/>
          <w:marTop w:val="0"/>
          <w:marBottom w:val="0"/>
          <w:divBdr>
            <w:top w:val="single" w:sz="2" w:space="0" w:color="auto"/>
            <w:left w:val="single" w:sz="2" w:space="0" w:color="auto"/>
            <w:bottom w:val="single" w:sz="2" w:space="0" w:color="auto"/>
            <w:right w:val="single" w:sz="2" w:space="0" w:color="auto"/>
          </w:divBdr>
          <w:divsChild>
            <w:div w:id="72551914">
              <w:marLeft w:val="0"/>
              <w:marRight w:val="0"/>
              <w:marTop w:val="192"/>
              <w:marBottom w:val="192"/>
              <w:divBdr>
                <w:top w:val="single" w:sz="2" w:space="0" w:color="auto"/>
                <w:left w:val="single" w:sz="2" w:space="0" w:color="auto"/>
                <w:bottom w:val="single" w:sz="2" w:space="0" w:color="auto"/>
                <w:right w:val="single" w:sz="2" w:space="0" w:color="auto"/>
              </w:divBdr>
              <w:divsChild>
                <w:div w:id="29498453">
                  <w:marLeft w:val="0"/>
                  <w:marRight w:val="0"/>
                  <w:marTop w:val="0"/>
                  <w:marBottom w:val="0"/>
                  <w:divBdr>
                    <w:top w:val="single" w:sz="2" w:space="0" w:color="auto"/>
                    <w:left w:val="single" w:sz="2" w:space="0" w:color="auto"/>
                    <w:bottom w:val="single" w:sz="2" w:space="0" w:color="auto"/>
                    <w:right w:val="single" w:sz="2" w:space="0" w:color="auto"/>
                  </w:divBdr>
                  <w:divsChild>
                    <w:div w:id="1979266128">
                      <w:marLeft w:val="0"/>
                      <w:marRight w:val="0"/>
                      <w:marTop w:val="0"/>
                      <w:marBottom w:val="0"/>
                      <w:divBdr>
                        <w:top w:val="single" w:sz="2" w:space="0" w:color="auto"/>
                        <w:left w:val="single" w:sz="2" w:space="0" w:color="auto"/>
                        <w:bottom w:val="single" w:sz="2" w:space="0" w:color="auto"/>
                        <w:right w:val="single" w:sz="2" w:space="0" w:color="auto"/>
                      </w:divBdr>
                      <w:divsChild>
                        <w:div w:id="1753357050">
                          <w:marLeft w:val="0"/>
                          <w:marRight w:val="0"/>
                          <w:marTop w:val="0"/>
                          <w:marBottom w:val="0"/>
                          <w:divBdr>
                            <w:top w:val="single" w:sz="2" w:space="2" w:color="auto"/>
                            <w:left w:val="single" w:sz="2" w:space="5" w:color="auto"/>
                            <w:bottom w:val="single" w:sz="2" w:space="2" w:color="auto"/>
                            <w:right w:val="single" w:sz="2" w:space="5" w:color="auto"/>
                          </w:divBdr>
                        </w:div>
                      </w:divsChild>
                    </w:div>
                    <w:div w:id="1743521369">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973901269">
          <w:marLeft w:val="0"/>
          <w:marRight w:val="0"/>
          <w:marTop w:val="0"/>
          <w:marBottom w:val="0"/>
          <w:divBdr>
            <w:top w:val="single" w:sz="2" w:space="0" w:color="auto"/>
            <w:left w:val="single" w:sz="2" w:space="0" w:color="auto"/>
            <w:bottom w:val="single" w:sz="2" w:space="0" w:color="auto"/>
            <w:right w:val="single" w:sz="2" w:space="0" w:color="auto"/>
          </w:divBdr>
          <w:divsChild>
            <w:div w:id="556012265">
              <w:marLeft w:val="0"/>
              <w:marRight w:val="0"/>
              <w:marTop w:val="192"/>
              <w:marBottom w:val="192"/>
              <w:divBdr>
                <w:top w:val="single" w:sz="2" w:space="0" w:color="auto"/>
                <w:left w:val="single" w:sz="2" w:space="0" w:color="auto"/>
                <w:bottom w:val="single" w:sz="2" w:space="0" w:color="auto"/>
                <w:right w:val="single" w:sz="2" w:space="0" w:color="auto"/>
              </w:divBdr>
              <w:divsChild>
                <w:div w:id="59182205">
                  <w:marLeft w:val="0"/>
                  <w:marRight w:val="0"/>
                  <w:marTop w:val="0"/>
                  <w:marBottom w:val="0"/>
                  <w:divBdr>
                    <w:top w:val="single" w:sz="2" w:space="0" w:color="auto"/>
                    <w:left w:val="single" w:sz="2" w:space="0" w:color="auto"/>
                    <w:bottom w:val="single" w:sz="2" w:space="0" w:color="auto"/>
                    <w:right w:val="single" w:sz="2" w:space="0" w:color="auto"/>
                  </w:divBdr>
                  <w:divsChild>
                    <w:div w:id="683552849">
                      <w:marLeft w:val="0"/>
                      <w:marRight w:val="0"/>
                      <w:marTop w:val="0"/>
                      <w:marBottom w:val="0"/>
                      <w:divBdr>
                        <w:top w:val="single" w:sz="2" w:space="0" w:color="auto"/>
                        <w:left w:val="single" w:sz="2" w:space="0" w:color="auto"/>
                        <w:bottom w:val="single" w:sz="2" w:space="0" w:color="auto"/>
                        <w:right w:val="single" w:sz="2" w:space="0" w:color="auto"/>
                      </w:divBdr>
                      <w:divsChild>
                        <w:div w:id="151720212">
                          <w:marLeft w:val="0"/>
                          <w:marRight w:val="0"/>
                          <w:marTop w:val="0"/>
                          <w:marBottom w:val="0"/>
                          <w:divBdr>
                            <w:top w:val="single" w:sz="2" w:space="2" w:color="auto"/>
                            <w:left w:val="single" w:sz="2" w:space="5" w:color="auto"/>
                            <w:bottom w:val="single" w:sz="2" w:space="2" w:color="auto"/>
                            <w:right w:val="single" w:sz="2" w:space="5" w:color="auto"/>
                          </w:divBdr>
                        </w:div>
                      </w:divsChild>
                    </w:div>
                    <w:div w:id="420956035">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410125539">
          <w:marLeft w:val="0"/>
          <w:marRight w:val="0"/>
          <w:marTop w:val="0"/>
          <w:marBottom w:val="0"/>
          <w:divBdr>
            <w:top w:val="single" w:sz="2" w:space="0" w:color="auto"/>
            <w:left w:val="single" w:sz="2" w:space="0" w:color="auto"/>
            <w:bottom w:val="single" w:sz="2" w:space="0" w:color="auto"/>
            <w:right w:val="single" w:sz="2" w:space="0" w:color="auto"/>
          </w:divBdr>
          <w:divsChild>
            <w:div w:id="1376538553">
              <w:marLeft w:val="0"/>
              <w:marRight w:val="0"/>
              <w:marTop w:val="192"/>
              <w:marBottom w:val="192"/>
              <w:divBdr>
                <w:top w:val="single" w:sz="2" w:space="0" w:color="auto"/>
                <w:left w:val="single" w:sz="2" w:space="0" w:color="auto"/>
                <w:bottom w:val="single" w:sz="2" w:space="0" w:color="auto"/>
                <w:right w:val="single" w:sz="2" w:space="0" w:color="auto"/>
              </w:divBdr>
              <w:divsChild>
                <w:div w:id="608850792">
                  <w:marLeft w:val="0"/>
                  <w:marRight w:val="0"/>
                  <w:marTop w:val="0"/>
                  <w:marBottom w:val="0"/>
                  <w:divBdr>
                    <w:top w:val="single" w:sz="2" w:space="0" w:color="auto"/>
                    <w:left w:val="single" w:sz="2" w:space="0" w:color="auto"/>
                    <w:bottom w:val="single" w:sz="2" w:space="0" w:color="auto"/>
                    <w:right w:val="single" w:sz="2" w:space="0" w:color="auto"/>
                  </w:divBdr>
                  <w:divsChild>
                    <w:div w:id="2062635813">
                      <w:marLeft w:val="0"/>
                      <w:marRight w:val="0"/>
                      <w:marTop w:val="0"/>
                      <w:marBottom w:val="0"/>
                      <w:divBdr>
                        <w:top w:val="single" w:sz="2" w:space="0" w:color="auto"/>
                        <w:left w:val="single" w:sz="2" w:space="0" w:color="auto"/>
                        <w:bottom w:val="single" w:sz="2" w:space="0" w:color="auto"/>
                        <w:right w:val="single" w:sz="2" w:space="0" w:color="auto"/>
                      </w:divBdr>
                      <w:divsChild>
                        <w:div w:id="437918745">
                          <w:marLeft w:val="0"/>
                          <w:marRight w:val="0"/>
                          <w:marTop w:val="0"/>
                          <w:marBottom w:val="0"/>
                          <w:divBdr>
                            <w:top w:val="single" w:sz="2" w:space="2" w:color="auto"/>
                            <w:left w:val="single" w:sz="2" w:space="5" w:color="auto"/>
                            <w:bottom w:val="single" w:sz="2" w:space="2" w:color="auto"/>
                            <w:right w:val="single" w:sz="2" w:space="5" w:color="auto"/>
                          </w:divBdr>
                        </w:div>
                      </w:divsChild>
                    </w:div>
                    <w:div w:id="134875469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972831196">
          <w:marLeft w:val="0"/>
          <w:marRight w:val="0"/>
          <w:marTop w:val="0"/>
          <w:marBottom w:val="0"/>
          <w:divBdr>
            <w:top w:val="single" w:sz="2" w:space="0" w:color="auto"/>
            <w:left w:val="single" w:sz="2" w:space="0" w:color="auto"/>
            <w:bottom w:val="single" w:sz="2" w:space="0" w:color="auto"/>
            <w:right w:val="single" w:sz="2" w:space="0" w:color="auto"/>
          </w:divBdr>
          <w:divsChild>
            <w:div w:id="137453776">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1270770908">
      <w:bodyDiv w:val="1"/>
      <w:marLeft w:val="0"/>
      <w:marRight w:val="0"/>
      <w:marTop w:val="0"/>
      <w:marBottom w:val="0"/>
      <w:divBdr>
        <w:top w:val="none" w:sz="0" w:space="0" w:color="auto"/>
        <w:left w:val="none" w:sz="0" w:space="0" w:color="auto"/>
        <w:bottom w:val="none" w:sz="0" w:space="0" w:color="auto"/>
        <w:right w:val="none" w:sz="0" w:space="0" w:color="auto"/>
      </w:divBdr>
    </w:div>
    <w:div w:id="15260182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nergy.ec.europa.eu/topics/energy-systems-integration/hydrogen_en" TargetMode="External"/><Relationship Id="rId13" Type="http://schemas.openxmlformats.org/officeDocument/2006/relationships/hyperlink" Target="https://www.iea.org/reports/direct-air-capture-2022" TargetMode="External"/><Relationship Id="rId18" Type="http://schemas.openxmlformats.org/officeDocument/2006/relationships/hyperlink" Target="https://www.ipcc.ch/report/ar6/wg3/" TargetMode="External"/><Relationship Id="rId26" Type="http://schemas.openxmlformats.org/officeDocument/2006/relationships/hyperlink" Target="https://www.aramco.com/en/sustainability/sustainability-report" TargetMode="External"/><Relationship Id="rId3" Type="http://schemas.openxmlformats.org/officeDocument/2006/relationships/settings" Target="settings.xml"/><Relationship Id="rId21" Type="http://schemas.openxmlformats.org/officeDocument/2006/relationships/hyperlink" Target="https://www.iso.org/standard/71206.html" TargetMode="External"/><Relationship Id="rId34" Type="http://schemas.openxmlformats.org/officeDocument/2006/relationships/image" Target="media/image2.png"/><Relationship Id="rId7" Type="http://schemas.openxmlformats.org/officeDocument/2006/relationships/hyperlink" Target="https://www.carboncure.com/" TargetMode="External"/><Relationship Id="rId12" Type="http://schemas.openxmlformats.org/officeDocument/2006/relationships/hyperlink" Target="https://www.iea.org/articles/is-carbon-capture-too-expensive" TargetMode="External"/><Relationship Id="rId17" Type="http://schemas.openxmlformats.org/officeDocument/2006/relationships/hyperlink" Target="https://ieefa.org/resources/carbon-capture-expensive-ineffective-and-falling-short-promises" TargetMode="External"/><Relationship Id="rId25" Type="http://schemas.openxmlformats.org/officeDocument/2006/relationships/hyperlink" Target="https://doi.org/10.1016/j.ijggc.2023.103835" TargetMode="External"/><Relationship Id="rId33" Type="http://schemas.openxmlformats.org/officeDocument/2006/relationships/image" Target="media/image1.png"/><Relationship Id="rId2" Type="http://schemas.openxmlformats.org/officeDocument/2006/relationships/styles" Target="styles.xml"/><Relationship Id="rId16" Type="http://schemas.openxmlformats.org/officeDocument/2006/relationships/hyperlink" Target="https://www.iea.org/reports/energy-technology-perspectives-2024" TargetMode="External"/><Relationship Id="rId20" Type="http://schemas.openxmlformats.org/officeDocument/2006/relationships/hyperlink" Target="https://www.irena.org/publications/2023/Jun/World-Energy-Transitions-Outlook-2023" TargetMode="External"/><Relationship Id="rId29" Type="http://schemas.openxmlformats.org/officeDocument/2006/relationships/hyperlink" Target="https://www.vision2030.gov.sa/" TargetMode="External"/><Relationship Id="rId1" Type="http://schemas.openxmlformats.org/officeDocument/2006/relationships/numbering" Target="numbering.xml"/><Relationship Id="rId6" Type="http://schemas.openxmlformats.org/officeDocument/2006/relationships/hyperlink" Target="https://www.airproducts.com/campaigns/neom-green-hydrogen-project" TargetMode="External"/><Relationship Id="rId11" Type="http://schemas.openxmlformats.org/officeDocument/2006/relationships/hyperlink" Target="https://www.globalccsinstitute.com/resources/global-status-report/" TargetMode="External"/><Relationship Id="rId24" Type="http://schemas.openxmlformats.org/officeDocument/2006/relationships/hyperlink" Target="https://www.netpower.com/" TargetMode="External"/><Relationship Id="rId32" Type="http://schemas.openxmlformats.org/officeDocument/2006/relationships/hyperlink" Target="https://doi.org/10.1016/j.apenergy.2022.120423" TargetMode="External"/><Relationship Id="rId5" Type="http://schemas.openxmlformats.org/officeDocument/2006/relationships/hyperlink" Target="https://www.acwapower.com/en/projects/neom-green-hydrogen/" TargetMode="External"/><Relationship Id="rId15" Type="http://schemas.openxmlformats.org/officeDocument/2006/relationships/hyperlink" Target="https://www.iea.org/reports/ccus-in-clean-energy-transitions" TargetMode="External"/><Relationship Id="rId23" Type="http://schemas.openxmlformats.org/officeDocument/2006/relationships/hyperlink" Target="https://www.moenergy.gov.sa/" TargetMode="External"/><Relationship Id="rId28" Type="http://schemas.openxmlformats.org/officeDocument/2006/relationships/hyperlink" Target="https://www.greeninitiatives.gov.sa/" TargetMode="External"/><Relationship Id="rId36" Type="http://schemas.openxmlformats.org/officeDocument/2006/relationships/theme" Target="theme/theme1.xml"/><Relationship Id="rId10" Type="http://schemas.openxmlformats.org/officeDocument/2006/relationships/hyperlink" Target="https://www.g20.org/" TargetMode="External"/><Relationship Id="rId19" Type="http://schemas.openxmlformats.org/officeDocument/2006/relationships/hyperlink" Target="https://www.irena.org/publications/2022/Jan/Innovation-Outlook-Renewable-Methanol" TargetMode="External"/><Relationship Id="rId31" Type="http://schemas.openxmlformats.org/officeDocument/2006/relationships/hyperlink" Target="https://www.worldbank.org/en/programs/pricing-carbon" TargetMode="External"/><Relationship Id="rId4" Type="http://schemas.openxmlformats.org/officeDocument/2006/relationships/webSettings" Target="webSettings.xml"/><Relationship Id="rId9" Type="http://schemas.openxmlformats.org/officeDocument/2006/relationships/hyperlink" Target="https://eur-lex.europa.eu/" TargetMode="External"/><Relationship Id="rId14" Type="http://schemas.openxmlformats.org/officeDocument/2006/relationships/hyperlink" Target="https://www.iea.org/reports/global-hydrogen-review-2023" TargetMode="External"/><Relationship Id="rId22" Type="http://schemas.openxmlformats.org/officeDocument/2006/relationships/hyperlink" Target="https://doi.org/10.1039/D2EE03890A" TargetMode="External"/><Relationship Id="rId27" Type="http://schemas.openxmlformats.org/officeDocument/2006/relationships/hyperlink" Target="https://www.aramco.com/en/creating-value/technology-development/carbon-management" TargetMode="External"/><Relationship Id="rId30" Type="http://schemas.openxmlformats.org/officeDocument/2006/relationships/hyperlink" Target="https://doi.org/10.1016/j.cej.2023.147256" TargetMode="External"/><Relationship Id="rId35"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419</TotalTime>
  <Pages>22</Pages>
  <Words>7311</Words>
  <Characters>41673</Characters>
  <Application>Microsoft Office Word</Application>
  <DocSecurity>0</DocSecurity>
  <Lines>347</Lines>
  <Paragraphs>97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48887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Manal Kazi</dc:creator>
  <cp:lastModifiedBy>Manal Kazi</cp:lastModifiedBy>
  <cp:revision>11</cp:revision>
  <dcterms:created xsi:type="dcterms:W3CDTF">2025-12-19T06:36:00Z</dcterms:created>
  <dcterms:modified xsi:type="dcterms:W3CDTF">2025-12-26T10:41:00Z</dcterms:modified>
</cp:coreProperties>
</file>